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4" w:hanging="0"/>
        <w:rPr>
          <w:rFonts w:eastAsia="Calibri"/>
          <w:sz w:val="20"/>
        </w:rPr>
      </w:pPr>
      <w:r>
        <w:rPr>
          <w:rFonts w:eastAsia="Arial" w:cs="Arial" w:ascii="Arial" w:hAnsi="Arial"/>
          <w:sz w:val="16"/>
          <w:szCs w:val="16"/>
        </w:rPr>
        <w:t xml:space="preserve">                             </w:t>
      </w:r>
      <w:r>
        <w:rPr>
          <w:rFonts w:cs="Arial" w:ascii="Arial" w:hAnsi="Arial"/>
          <w:sz w:val="16"/>
          <w:szCs w:val="16"/>
        </w:rPr>
        <w:tab/>
        <w:tab/>
        <w:t xml:space="preserve">                   </w:t>
        <w:tab/>
        <w:tab/>
      </w:r>
    </w:p>
    <w:p>
      <w:pPr>
        <w:pStyle w:val="Normal"/>
        <w:rPr>
          <w:rFonts w:eastAsia="Calibri"/>
          <w:sz w:val="16"/>
          <w:szCs w:val="16"/>
        </w:rPr>
      </w:pPr>
      <w:r>
        <w:rPr>
          <w:rFonts w:eastAsia="Calibri"/>
          <w:sz w:val="20"/>
        </w:rPr>
        <w:t xml:space="preserve">                </w:t>
      </w:r>
      <w:r>
        <w:rPr>
          <w:rFonts w:eastAsia="Calibri"/>
          <w:sz w:val="20"/>
        </w:rPr>
        <w:drawing>
          <wp:inline distT="0" distB="0" distL="0" distR="0">
            <wp:extent cx="546100" cy="6477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                     </w:t>
      </w:r>
      <w:r>
        <w:rPr>
          <w:sz w:val="20"/>
        </w:rPr>
        <w:drawing>
          <wp:inline distT="0" distB="0" distL="0" distR="0">
            <wp:extent cx="1651000" cy="571500"/>
            <wp:effectExtent l="0" t="0" r="0" b="0"/>
            <wp:docPr id="2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</w:t>
      </w:r>
      <w:r>
        <w:rPr>
          <w:sz w:val="20"/>
        </w:rPr>
        <w:drawing>
          <wp:inline distT="0" distB="0" distL="0" distR="0">
            <wp:extent cx="850900" cy="711200"/>
            <wp:effectExtent l="0" t="0" r="0" b="0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</w:t>
      </w:r>
      <w:r>
        <w:rPr>
          <w:sz w:val="16"/>
          <w:szCs w:val="16"/>
        </w:rPr>
        <w:t>Via Altobelli 5 Mantova</w:t>
        <w:tab/>
        <w:t xml:space="preserve">                     </w:t>
        <w:tab/>
        <w:t>Via Torelli 10 Mantova</w:t>
        <w:tab/>
        <w:t xml:space="preserve">                                      Via Cremona 27/5 Mantova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</w:t>
      </w:r>
      <w:r>
        <w:rPr>
          <w:sz w:val="16"/>
          <w:szCs w:val="16"/>
        </w:rPr>
        <w:t>tel. 0376 / 2021</w:t>
        <w:tab/>
        <w:t xml:space="preserve">                                           tel. 0376 / 352237</w:t>
        <w:tab/>
        <w:tab/>
        <w:t xml:space="preserve">                                               tel. 0376 / 262385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ORDINE DEL GIORNO DIRETTIVI UNITARI SPI - FNP - UILP MANTOVA</w:t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 w:before="0" w:after="120"/>
        <w:jc w:val="both"/>
        <w:rPr>
          <w:rFonts w:ascii="Century Gothic" w:hAnsi="Century Gothic" w:eastAsia="Calibri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 </w:t>
      </w:r>
      <w:r>
        <w:rPr>
          <w:rFonts w:ascii="Century Gothic" w:hAnsi="Century Gothic"/>
          <w:b/>
          <w:sz w:val="28"/>
          <w:szCs w:val="28"/>
        </w:rPr>
        <w:t>Direttivi Unitari</w:t>
      </w:r>
      <w:r>
        <w:rPr>
          <w:rFonts w:ascii="Century Gothic" w:hAnsi="Century Gothic"/>
          <w:sz w:val="28"/>
          <w:szCs w:val="28"/>
        </w:rPr>
        <w:t xml:space="preserve"> della </w:t>
      </w:r>
      <w:r>
        <w:rPr>
          <w:rFonts w:ascii="Century Gothic" w:hAnsi="Century Gothic"/>
          <w:b/>
          <w:sz w:val="28"/>
          <w:szCs w:val="28"/>
        </w:rPr>
        <w:t>SPI CGIL - FNP CISL - UILP UIL</w:t>
      </w:r>
      <w:r>
        <w:rPr>
          <w:rFonts w:ascii="Century Gothic" w:hAnsi="Century Gothic"/>
          <w:sz w:val="28"/>
          <w:szCs w:val="28"/>
        </w:rPr>
        <w:t xml:space="preserve">, riunitisi a Mantova il 27/11/2018 per la verifica della negoziazione 2018 e la presentazione della piattaforma negoziale con i Comuni per l’anno 2019, approvano la relazione delle Segreterie e </w:t>
      </w:r>
      <w:r>
        <w:rPr>
          <w:rFonts w:ascii="Century Gothic" w:hAnsi="Century Gothic"/>
          <w:sz w:val="28"/>
          <w:szCs w:val="28"/>
        </w:rPr>
        <w:t>il contributo</w:t>
      </w:r>
      <w:r>
        <w:rPr>
          <w:rFonts w:ascii="Century Gothic" w:hAnsi="Century Gothic"/>
          <w:sz w:val="28"/>
          <w:szCs w:val="28"/>
        </w:rPr>
        <w:t xml:space="preserve"> del Segretario Regionale Emilio DIDONÈ a nome delle Segreterie Regionali. </w:t>
      </w:r>
    </w:p>
    <w:p>
      <w:pPr>
        <w:pStyle w:val="Normal"/>
        <w:spacing w:lineRule="auto" w:line="240" w:before="0" w:after="120"/>
        <w:jc w:val="both"/>
        <w:rPr>
          <w:rFonts w:ascii="Century Gothic" w:hAnsi="Century Gothic" w:eastAsia="Calibri"/>
          <w:b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RIMARCANO</w:t>
      </w:r>
      <w:r>
        <w:rPr>
          <w:rFonts w:ascii="Century Gothic" w:hAnsi="Century Gothic"/>
          <w:sz w:val="28"/>
          <w:szCs w:val="28"/>
        </w:rPr>
        <w:t xml:space="preserve"> il fondamentale contributo che il Sindacato dei Pensionati ha dato negli incontri con le Amministrazioni Locali intercettando la domanda e i bisogni non solo della popolazione anziana ma anche della intera cittadinanza.</w:t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b/>
          <w:b/>
          <w:bCs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RITENGONO </w:t>
      </w:r>
      <w:r>
        <w:rPr>
          <w:rFonts w:ascii="Century Gothic" w:hAnsi="Century Gothic"/>
          <w:sz w:val="28"/>
          <w:szCs w:val="28"/>
        </w:rPr>
        <w:t>indispensabile continuare in questo percorso di negoziazione sociale, cercando, con forza, di sensibilizzare i lavoratori e le lavoratrici su questo importante obiettivo che riveste un impatto crescente sul potere di acquisto e sulla qualità della vita dei lavoratori e pensionati.</w:t>
      </w:r>
    </w:p>
    <w:p>
      <w:pPr>
        <w:pStyle w:val="Normal"/>
        <w:suppressAutoHyphens w:val="false"/>
        <w:spacing w:lineRule="auto" w:line="240" w:before="0" w:after="1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ESPRIMONO PREOCCUPAZIONE </w:t>
      </w:r>
      <w:r>
        <w:rPr>
          <w:rFonts w:ascii="Century Gothic" w:hAnsi="Century Gothic"/>
          <w:sz w:val="28"/>
          <w:szCs w:val="28"/>
        </w:rPr>
        <w:t>sulla così detta fase due della previdenza e pensioni perché pur in presenza di nuove prese di posizione dai Sindacati sulla necessità di uscire dalla logica di propaganda e di dare forma a provvedimenti concreti per pensioni e lavoro. Tutto questo in un contesto di pressione crescente tra Governo e INPS, stante che da quest'ultima arrivano proiezioni severe di costo per garantire il superamento della legge Fornero</w:t>
      </w:r>
    </w:p>
    <w:p>
      <w:pPr>
        <w:pStyle w:val="Normal"/>
        <w:suppressAutoHyphens w:val="false"/>
        <w:spacing w:lineRule="auto" w:line="240" w:before="0" w:after="120"/>
        <w:jc w:val="both"/>
        <w:rPr/>
      </w:pPr>
      <w:r>
        <w:rPr>
          <w:rFonts w:ascii="Century Gothic" w:hAnsi="Century Gothic"/>
          <w:sz w:val="28"/>
          <w:szCs w:val="28"/>
        </w:rPr>
        <w:t xml:space="preserve">Pur avendo sottoscritto gli accordi con la Regione Lombardia sulla riforma sanitaria, in particolare per gli importanti cambiamenti relativi ai malati cronici, chiamati a scegliere un gestore che si occuperà delle sue necessità, </w:t>
      </w:r>
      <w:r>
        <w:rPr>
          <w:rFonts w:ascii="Century Gothic" w:hAnsi="Century Gothic"/>
          <w:b/>
          <w:bCs/>
          <w:sz w:val="28"/>
          <w:szCs w:val="28"/>
        </w:rPr>
        <w:t>ESPRIMONO</w:t>
      </w:r>
      <w:r>
        <w:rPr>
          <w:rFonts w:ascii="Century Gothic" w:hAnsi="Century Gothic"/>
          <w:sz w:val="28"/>
          <w:szCs w:val="28"/>
        </w:rPr>
        <w:t xml:space="preserve"> serie preoccupazioni per il fatto che solo l’8,4% dei pazienti cronici invitati dalla Regione ad aderire al nuovo percorso di presa in carico, previsto dalla Legge regionale n. 23 del 2015, ha accettato di aderire alla riforma. A giugno 2018 lo hanno fatto poco più di 257.000 pazienti, su un totale di più di tre milioni di persone interessate. </w:t>
      </w:r>
    </w:p>
    <w:p>
      <w:pPr>
        <w:pStyle w:val="Normal"/>
        <w:suppressAutoHyphens w:val="false"/>
        <w:spacing w:lineRule="auto" w:line="240" w:before="0" w:after="120"/>
        <w:jc w:val="both"/>
        <w:rPr/>
      </w:pPr>
      <w:r>
        <w:rPr>
          <w:rFonts w:ascii="Century Gothic" w:hAnsi="Century Gothic"/>
          <w:sz w:val="28"/>
          <w:szCs w:val="28"/>
        </w:rPr>
        <w:t xml:space="preserve">Gli obiettivi cardine della riforma, cioè l’integrazione ospedale-territorio e la continuità di cura fra percorsi sanitari, sociosanitari e assistenziali, in particolare per i pazienti fragili, sono ancora inattuati e per questa ragione </w:t>
      </w:r>
      <w:r>
        <w:rPr>
          <w:rFonts w:ascii="Century Gothic" w:hAnsi="Century Gothic"/>
          <w:b/>
          <w:bCs/>
          <w:sz w:val="28"/>
          <w:szCs w:val="28"/>
        </w:rPr>
        <w:t>RITENIAMO INSUFFICENTE</w:t>
      </w:r>
      <w:r>
        <w:rPr>
          <w:rFonts w:ascii="Century Gothic" w:hAnsi="Century Gothic"/>
          <w:sz w:val="28"/>
          <w:szCs w:val="28"/>
        </w:rPr>
        <w:t xml:space="preserve"> l’attuale assetto di sistema. Le difficoltà nell’individuare in modo chiaro le unità d’offerta sul territorio, i tempi di attesa, il costo della compartecipazione richiesta ai cittadini, la presenza di aree ancora pochissimo o per nulla presidiate dal servizio pubblico, come la salute mentale, la disabilità e la non autosufficienza, sono tutti elementi che concorrono a ridurre l’equità del sistema e a limitarne l’efficacia.</w:t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b/>
          <w:b/>
          <w:bCs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CHIEDONO </w:t>
      </w:r>
      <w:r>
        <w:rPr>
          <w:rFonts w:ascii="Century Gothic" w:hAnsi="Century Gothic"/>
          <w:sz w:val="28"/>
          <w:szCs w:val="28"/>
        </w:rPr>
        <w:t>pertanto che tali accordi, oltre ad essere resi esigibili, soprattutto nelle parti che coinvolgono le fragilità più importanti, prevedano l’abbassamento delle rette delle RSA e la riapertura del tavolo nazionale sulla non autosufficienza con stanziamento di ulteriori fondi.</w:t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EVIDENZIANO </w:t>
      </w:r>
      <w:r>
        <w:rPr>
          <w:rFonts w:ascii="Century Gothic" w:hAnsi="Century Gothic"/>
          <w:sz w:val="28"/>
          <w:szCs w:val="28"/>
        </w:rPr>
        <w:t>che la negoziazione sociale con i Comuni ha sempre rappresentato per il sindacato mantovano un punto fermo di tutela per i pensionati, per gli anziani e le loro famiglie. È una impegnativa attività che coinvolge tutte le nostre strutture locali, comunali di Lega e interlega e la Rappresentanza Locale Sindacale (R.L.S.).</w:t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 organizzazioni territoriali della SPI - CGIL, FNP - CISL, UILP - UIL hanno sottoscritto nel 2018 n. </w:t>
      </w:r>
      <w:r>
        <w:rPr>
          <w:rFonts w:ascii="Century Gothic" w:hAnsi="Century Gothic"/>
          <w:b/>
          <w:sz w:val="28"/>
          <w:szCs w:val="28"/>
        </w:rPr>
        <w:t>52</w:t>
      </w:r>
      <w:r>
        <w:rPr>
          <w:rFonts w:ascii="Century Gothic" w:hAnsi="Century Gothic"/>
          <w:sz w:val="28"/>
          <w:szCs w:val="28"/>
        </w:rPr>
        <w:t xml:space="preserve"> verbali, suddivisi in </w:t>
      </w:r>
      <w:r>
        <w:rPr>
          <w:rFonts w:ascii="Century Gothic" w:hAnsi="Century Gothic"/>
          <w:b/>
          <w:sz w:val="28"/>
          <w:szCs w:val="28"/>
        </w:rPr>
        <w:t>34</w:t>
      </w:r>
      <w:r>
        <w:rPr>
          <w:rFonts w:ascii="Century Gothic" w:hAnsi="Century Gothic"/>
          <w:sz w:val="28"/>
          <w:szCs w:val="28"/>
        </w:rPr>
        <w:t xml:space="preserve"> verbali di accordo e </w:t>
      </w:r>
      <w:r>
        <w:rPr>
          <w:rFonts w:ascii="Century Gothic" w:hAnsi="Century Gothic"/>
          <w:b/>
          <w:sz w:val="28"/>
          <w:szCs w:val="28"/>
        </w:rPr>
        <w:t>18</w:t>
      </w:r>
      <w:r>
        <w:rPr>
          <w:rFonts w:ascii="Century Gothic" w:hAnsi="Century Gothic"/>
          <w:sz w:val="28"/>
          <w:szCs w:val="28"/>
        </w:rPr>
        <w:t xml:space="preserve"> verbali di incontro. Questo risultato è stato realizzato con </w:t>
      </w:r>
      <w:r>
        <w:rPr>
          <w:rFonts w:ascii="Century Gothic" w:hAnsi="Century Gothic"/>
          <w:b/>
          <w:sz w:val="28"/>
          <w:szCs w:val="28"/>
        </w:rPr>
        <w:t>52</w:t>
      </w:r>
      <w:r>
        <w:rPr>
          <w:rFonts w:ascii="Century Gothic" w:hAnsi="Century Gothic"/>
          <w:sz w:val="28"/>
          <w:szCs w:val="28"/>
        </w:rPr>
        <w:t xml:space="preserve"> Comuni su un totale di </w:t>
      </w:r>
      <w:r>
        <w:rPr>
          <w:rFonts w:ascii="Century Gothic" w:hAnsi="Century Gothic"/>
          <w:b/>
          <w:sz w:val="28"/>
          <w:szCs w:val="28"/>
        </w:rPr>
        <w:t>68</w:t>
      </w:r>
      <w:r>
        <w:rPr>
          <w:rFonts w:ascii="Century Gothic" w:hAnsi="Century Gothic"/>
          <w:sz w:val="28"/>
          <w:szCs w:val="28"/>
        </w:rPr>
        <w:t>, con</w:t>
      </w: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più di 100 incontri di confronto sulle tematiche presenti nella piattaforma, coinvolgendo un territorio con più di 350.000 cittadini direttamente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interessati.</w:t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numerosi accordi e incontri fatti sul territorio hanno, come linee guida, l’equità e l’attenzione alle situazioni di fragilità, la lotta alla evasione fiscale e la fiscalità comunale, il sostegno al reddito, le politiche abitative e la sicurezza sociale.</w:t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Il nostro impegno, insieme alle Confederazioni, continuerà anche nei prossimi anni, come risposta ai problemi delle persone, delle famiglie e di tutti coloro che vivono in situazioni di difficoltà e che tutti noi rappresentiamo.</w:t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b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 componenti dei Direttivi Unitari </w:t>
      </w:r>
      <w:r>
        <w:rPr>
          <w:rFonts w:ascii="Century Gothic" w:hAnsi="Century Gothic"/>
          <w:b/>
          <w:sz w:val="28"/>
          <w:szCs w:val="28"/>
        </w:rPr>
        <w:t>RIBADISCONO</w:t>
      </w:r>
      <w:r>
        <w:rPr>
          <w:rFonts w:ascii="Century Gothic" w:hAnsi="Century Gothic"/>
          <w:sz w:val="28"/>
          <w:szCs w:val="28"/>
        </w:rPr>
        <w:t xml:space="preserve">, con forza, la necessità di una ricerca profonda e convinta dell’unità delle Confederazioni a livello Nazionale. </w:t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b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SOLLECITANO </w:t>
      </w:r>
      <w:r>
        <w:rPr>
          <w:rFonts w:ascii="Century Gothic" w:hAnsi="Century Gothic"/>
          <w:sz w:val="28"/>
          <w:szCs w:val="28"/>
        </w:rPr>
        <w:t>affinché vengano predisposte tutte le iniziative necessarie per realizzare ulteriori conquiste a difesa del potere di acquisto delle pensioni, in particolare quelle superiori a tre volte il minimo.</w:t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CHIEDONO </w:t>
      </w:r>
      <w:r>
        <w:rPr>
          <w:rFonts w:ascii="Century Gothic" w:hAnsi="Century Gothic"/>
          <w:sz w:val="28"/>
          <w:szCs w:val="28"/>
        </w:rPr>
        <w:t>ai Comuni Mantovani</w:t>
      </w: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una riorganizzazione della macchina comunale anche attraverso lo strumento di fusione dei Comuni perché un territorio più ampio presenta possibilità maggiori, anche in termini di forte presenza istituzionale e di offerta di servizi, rispetto ai singoli Comuni.</w:t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Infine il percorso unitario che da sempre, come Sindacato dei Pensionati, stiamo portando avanti, senza perdere le nostre specificità, possa essere da stimolo per le Confederazioni, perché vogliamo che i diritti conquistati negli anni con le nostre lotte, possano essere conservati e migliorati, così come definito nella piattaforma unitaria di SPI, FNP e UILP. </w:t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 Direttivi Unitari danno, pertanto, mandato alle Segreterie provinciali perché </w:t>
      </w:r>
      <w:r>
        <w:rPr>
          <w:rFonts w:ascii="Century Gothic" w:hAnsi="Century Gothic"/>
          <w:b/>
          <w:sz w:val="28"/>
          <w:szCs w:val="28"/>
        </w:rPr>
        <w:t>PROSEGUANO</w:t>
      </w:r>
      <w:r>
        <w:rPr>
          <w:rFonts w:ascii="Century Gothic" w:hAnsi="Century Gothic"/>
          <w:sz w:val="28"/>
          <w:szCs w:val="28"/>
        </w:rPr>
        <w:t xml:space="preserve"> con forza e determinazione nell’attività di negoziazione sociale con i Comuni, i Piani di Zona, le Case di Riposo e le nuove strutture sanitarie territoriali, ritenendola un importante strumento di tutela dei diritti dei cittadini.</w:t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Mantova, 27 novembre 2018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-Bold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Calibri-Bold" w:hAnsi="Calibri-Bold" w:eastAsia="Times New Roman" w:cs="Calibri-Bold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Arial" w:hAnsi="Arial" w:eastAsia="Times New Roman" w:cs="Aria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ymbol" w:hAnsi="Symbol" w:eastAsia="Times New Roman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>
      <w:rFonts w:cs="Times New Roman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Carpredefinitoparagrafo1" w:customStyle="1">
    <w:name w:val="Car. predefinito paragrafo1"/>
    <w:qFormat/>
    <w:rPr/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CorpodeltestoCarattere" w:customStyle="1">
    <w:name w:val="Corpo del testo Carattere"/>
    <w:qFormat/>
    <w:rPr>
      <w:rFonts w:ascii="Times New Roman" w:hAnsi="Times New Roman" w:cs="Times New Roman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8573ab"/>
    <w:rPr/>
  </w:style>
  <w:style w:type="character" w:styleId="Strong">
    <w:name w:val="Strong"/>
    <w:basedOn w:val="DefaultParagraphFont"/>
    <w:uiPriority w:val="22"/>
    <w:qFormat/>
    <w:rsid w:val="008573ab"/>
    <w:rPr>
      <w:b/>
      <w:bCs/>
    </w:rPr>
  </w:style>
  <w:style w:type="character" w:styleId="CollegamentoInternet">
    <w:name w:val="Collegamento Internet"/>
    <w:basedOn w:val="DefaultParagraphFont"/>
    <w:uiPriority w:val="99"/>
    <w:semiHidden/>
    <w:unhideWhenUsed/>
    <w:rsid w:val="008573ab"/>
    <w:rPr>
      <w:color w:val="0000FF"/>
      <w:u w:val="single"/>
    </w:rPr>
  </w:style>
  <w:style w:type="character" w:styleId="Textlinkvideo" w:customStyle="1">
    <w:name w:val="text-link-video"/>
    <w:basedOn w:val="DefaultParagraphFont"/>
    <w:qFormat/>
    <w:rsid w:val="008573ab"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Calibri" w:cs="Times New Roman"/>
      <w:sz w:val="24"/>
      <w:szCs w:val="24"/>
      <w:lang w:val="x-none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1" w:customStyle="1">
    <w:name w:val="Titolo1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agrafoelenco1" w:customStyle="1">
    <w:name w:val="Paragrafo elenco1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eastAsia="Calibri" w:cs="Times New Roman"/>
      <w:sz w:val="16"/>
      <w:szCs w:val="16"/>
      <w:lang w:val="x-none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Verdana" w:hAnsi="Verdana" w:eastAsia="Times New Roman" w:cs="Verdana"/>
      <w:color w:val="000000"/>
      <w:sz w:val="24"/>
      <w:szCs w:val="24"/>
      <w:lang w:val="it-IT" w:eastAsia="zh-CN" w:bidi="ar-SA"/>
    </w:rPr>
  </w:style>
  <w:style w:type="paragraph" w:styleId="Normale1" w:customStyle="1">
    <w:name w:val="Normale1"/>
    <w:qFormat/>
    <w:pPr>
      <w:widowControl/>
      <w:suppressAutoHyphens w:val="true"/>
      <w:bidi w:val="0"/>
      <w:spacing w:lineRule="atLeast" w:line="100"/>
      <w:jc w:val="left"/>
    </w:pPr>
    <w:rPr>
      <w:rFonts w:ascii="Verdana" w:hAnsi="Verdana" w:eastAsia="Times New Roman" w:cs="Verdana"/>
      <w:color w:val="000000"/>
      <w:sz w:val="24"/>
      <w:szCs w:val="24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LibreOffice/5.3.1.2$Windows_x86 LibreOffice_project/e80a0e0fd1875e1696614d24c32df0f95f03deb2</Application>
  <Pages>3</Pages>
  <Words>847</Words>
  <Characters>4803</Characters>
  <CharactersWithSpaces>5933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2018-11-26T09:05:00Z</dcterms:created>
  <dc:creator>Giuseppina De Stefano</dc:creator>
  <dc:description/>
  <dc:language>it-IT</dc:language>
  <cp:lastModifiedBy/>
  <cp:lastPrinted>2018-11-27T09:04:27Z</cp:lastPrinted>
  <dcterms:modified xsi:type="dcterms:W3CDTF">2018-11-27T12:59:27Z</dcterms:modified>
  <cp:revision>5</cp:revision>
  <dc:subject/>
  <dc:title>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