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C04" w:rsidRPr="005602CD" w:rsidRDefault="00E76C04" w:rsidP="00E76C04">
      <w:pPr>
        <w:autoSpaceDE w:val="0"/>
        <w:autoSpaceDN w:val="0"/>
        <w:adjustRightInd w:val="0"/>
        <w:rPr>
          <w:rFonts w:ascii="EuphemiaUCAS" w:hAnsi="EuphemiaUCAS" w:cs="EuphemiaUCAS"/>
          <w:color w:val="000000"/>
          <w:sz w:val="48"/>
          <w:szCs w:val="48"/>
        </w:rPr>
      </w:pPr>
      <w:r w:rsidRPr="00597658">
        <w:rPr>
          <w:rFonts w:ascii="EuphemiaUCAS" w:hAnsi="EuphemiaUCAS" w:cs="EuphemiaUCAS"/>
          <w:noProof/>
          <w:color w:val="000000"/>
          <w:sz w:val="48"/>
          <w:szCs w:val="48"/>
          <w:lang w:eastAsia="it-IT" w:bidi="ar-SA"/>
        </w:rPr>
        <w:drawing>
          <wp:inline distT="0" distB="0" distL="0" distR="0">
            <wp:extent cx="1447800" cy="6572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5" cstate="print">
                      <a:lum bright="-20000" contrast="40000"/>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a:ln>
                      <a:noFill/>
                    </a:ln>
                  </pic:spPr>
                </pic:pic>
              </a:graphicData>
            </a:graphic>
          </wp:inline>
        </w:drawing>
      </w:r>
      <w:r>
        <w:rPr>
          <w:rFonts w:ascii="EuphemiaUCAS" w:hAnsi="EuphemiaUCAS" w:cs="EuphemiaUCAS"/>
          <w:color w:val="000000"/>
          <w:sz w:val="48"/>
          <w:szCs w:val="48"/>
        </w:rPr>
        <w:t xml:space="preserve">   </w:t>
      </w:r>
      <w:r>
        <w:rPr>
          <w:rFonts w:ascii="EuphemiaUCAS" w:hAnsi="EuphemiaUCAS" w:cs="EuphemiaUCAS"/>
          <w:color w:val="000000"/>
          <w:sz w:val="48"/>
          <w:szCs w:val="48"/>
        </w:rPr>
        <w:tab/>
        <w:t xml:space="preserve"> </w:t>
      </w:r>
      <w:r w:rsidR="00297657">
        <w:rPr>
          <w:rFonts w:ascii="EuphemiaUCAS" w:hAnsi="EuphemiaUCAS" w:cs="EuphemiaUCAS"/>
          <w:color w:val="000000"/>
          <w:sz w:val="48"/>
          <w:szCs w:val="48"/>
        </w:rPr>
        <w:t xml:space="preserve"> </w:t>
      </w:r>
      <w:r>
        <w:rPr>
          <w:rFonts w:ascii="EuphemiaUCAS" w:hAnsi="EuphemiaUCAS" w:cs="EuphemiaUCAS"/>
          <w:color w:val="000000"/>
          <w:sz w:val="48"/>
          <w:szCs w:val="48"/>
        </w:rPr>
        <w:t xml:space="preserve">    </w:t>
      </w:r>
      <w:r w:rsidRPr="00597658">
        <w:rPr>
          <w:rFonts w:ascii="EuphemiaUCAS" w:hAnsi="EuphemiaUCAS" w:cs="EuphemiaUCAS"/>
          <w:noProof/>
          <w:color w:val="000000"/>
          <w:sz w:val="48"/>
          <w:szCs w:val="48"/>
          <w:lang w:eastAsia="it-IT" w:bidi="ar-SA"/>
        </w:rPr>
        <w:drawing>
          <wp:inline distT="0" distB="0" distL="0" distR="0">
            <wp:extent cx="1162050" cy="571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6" cstate="print">
                      <a:lum bright="-20000" contrast="40000"/>
                      <a:extLst>
                        <a:ext uri="{28A0092B-C50C-407E-A947-70E740481C1C}">
                          <a14:useLocalDpi xmlns:a14="http://schemas.microsoft.com/office/drawing/2010/main" val="0"/>
                        </a:ext>
                      </a:extLst>
                    </a:blip>
                    <a:srcRect/>
                    <a:stretch>
                      <a:fillRect/>
                    </a:stretch>
                  </pic:blipFill>
                  <pic:spPr bwMode="auto">
                    <a:xfrm>
                      <a:off x="0" y="0"/>
                      <a:ext cx="1162050" cy="571500"/>
                    </a:xfrm>
                    <a:prstGeom prst="rect">
                      <a:avLst/>
                    </a:prstGeom>
                    <a:noFill/>
                    <a:ln>
                      <a:noFill/>
                    </a:ln>
                  </pic:spPr>
                </pic:pic>
              </a:graphicData>
            </a:graphic>
          </wp:inline>
        </w:drawing>
      </w:r>
      <w:r w:rsidR="00297657">
        <w:rPr>
          <w:rFonts w:ascii="EuphemiaUCAS" w:hAnsi="EuphemiaUCAS" w:cs="EuphemiaUCAS"/>
          <w:color w:val="000000"/>
          <w:sz w:val="48"/>
          <w:szCs w:val="48"/>
        </w:rPr>
        <w:t xml:space="preserve">   </w:t>
      </w:r>
      <w:r>
        <w:rPr>
          <w:rFonts w:ascii="EuphemiaUCAS" w:hAnsi="EuphemiaUCAS" w:cs="EuphemiaUCAS"/>
          <w:color w:val="000000"/>
          <w:sz w:val="48"/>
          <w:szCs w:val="48"/>
        </w:rPr>
        <w:t xml:space="preserve"> </w:t>
      </w:r>
      <w:r w:rsidR="009420F1">
        <w:rPr>
          <w:rFonts w:ascii="EuphemiaUCAS" w:hAnsi="EuphemiaUCAS" w:cs="EuphemiaUCAS"/>
          <w:color w:val="000000"/>
          <w:sz w:val="48"/>
          <w:szCs w:val="48"/>
        </w:rPr>
        <w:t xml:space="preserve"> </w:t>
      </w:r>
      <w:r>
        <w:rPr>
          <w:rFonts w:ascii="EuphemiaUCAS" w:hAnsi="EuphemiaUCAS" w:cs="EuphemiaUCAS"/>
          <w:color w:val="000000"/>
          <w:sz w:val="48"/>
          <w:szCs w:val="48"/>
        </w:rPr>
        <w:t xml:space="preserve"> </w:t>
      </w:r>
      <w:r>
        <w:rPr>
          <w:rFonts w:ascii="EuphemiaUCAS" w:hAnsi="EuphemiaUCAS" w:cs="EuphemiaUCAS"/>
          <w:color w:val="000000"/>
          <w:sz w:val="48"/>
          <w:szCs w:val="48"/>
        </w:rPr>
        <w:tab/>
      </w:r>
      <w:r>
        <w:rPr>
          <w:rFonts w:ascii="EuphemiaUCAS" w:hAnsi="EuphemiaUCAS" w:cs="EuphemiaUCAS"/>
          <w:color w:val="000000"/>
          <w:sz w:val="48"/>
          <w:szCs w:val="48"/>
        </w:rPr>
        <w:tab/>
      </w:r>
      <w:r w:rsidRPr="00597658">
        <w:rPr>
          <w:rFonts w:ascii="EuphemiaUCAS" w:hAnsi="EuphemiaUCAS" w:cs="EuphemiaUCAS"/>
          <w:noProof/>
          <w:color w:val="000000"/>
          <w:sz w:val="48"/>
          <w:szCs w:val="48"/>
          <w:lang w:eastAsia="it-IT" w:bidi="ar-SA"/>
        </w:rPr>
        <w:drawing>
          <wp:inline distT="0" distB="0" distL="0" distR="0">
            <wp:extent cx="1333500" cy="609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1333500" cy="609600"/>
                    </a:xfrm>
                    <a:prstGeom prst="rect">
                      <a:avLst/>
                    </a:prstGeom>
                    <a:noFill/>
                    <a:ln>
                      <a:noFill/>
                    </a:ln>
                  </pic:spPr>
                </pic:pic>
              </a:graphicData>
            </a:graphic>
          </wp:inline>
        </w:drawing>
      </w:r>
    </w:p>
    <w:p w:rsidR="00E76C04" w:rsidRDefault="00E76C04" w:rsidP="00E76C04">
      <w:pPr>
        <w:rPr>
          <w:rFonts w:eastAsia="Liberation Serif" w:cs="Liberation Serif"/>
        </w:rPr>
      </w:pPr>
    </w:p>
    <w:p w:rsidR="00E76C04" w:rsidRDefault="00E76C04" w:rsidP="00E76C04">
      <w:pPr>
        <w:jc w:val="center"/>
      </w:pPr>
    </w:p>
    <w:p w:rsidR="00E76C04" w:rsidRPr="00E76C04" w:rsidRDefault="009420F1" w:rsidP="00E76C04">
      <w:pPr>
        <w:jc w:val="center"/>
        <w:rPr>
          <w:sz w:val="28"/>
          <w:szCs w:val="28"/>
        </w:rPr>
      </w:pPr>
      <w:r>
        <w:rPr>
          <w:rFonts w:ascii="Arial" w:eastAsia="Liberation Serif" w:hAnsi="Arial" w:cs="Arial"/>
          <w:b/>
          <w:bCs/>
          <w:sz w:val="28"/>
          <w:szCs w:val="28"/>
        </w:rPr>
        <w:t>Lettera aperta</w:t>
      </w:r>
      <w:r w:rsidR="00E76C04" w:rsidRPr="00E76C04">
        <w:rPr>
          <w:rFonts w:ascii="Arial" w:eastAsia="Liberation Serif" w:hAnsi="Arial" w:cs="Arial"/>
          <w:b/>
          <w:bCs/>
          <w:sz w:val="28"/>
          <w:szCs w:val="28"/>
        </w:rPr>
        <w:t xml:space="preserve"> ai candidati sindaci alle elezioni comunali 2019</w:t>
      </w:r>
      <w:r>
        <w:rPr>
          <w:rFonts w:ascii="Arial" w:eastAsia="Liberation Serif" w:hAnsi="Arial" w:cs="Arial"/>
          <w:b/>
          <w:bCs/>
          <w:sz w:val="28"/>
          <w:szCs w:val="28"/>
        </w:rPr>
        <w:t xml:space="preserve"> in Brianza</w:t>
      </w:r>
    </w:p>
    <w:p w:rsidR="00E76C04" w:rsidRDefault="00E76C04" w:rsidP="00E76C04">
      <w:pPr>
        <w:jc w:val="center"/>
      </w:pPr>
    </w:p>
    <w:p w:rsidR="00E76C04" w:rsidRDefault="00E76C04" w:rsidP="00E76C04">
      <w:pPr>
        <w:jc w:val="both"/>
        <w:rPr>
          <w:rFonts w:ascii="Arial" w:eastAsia="Liberation Serif" w:hAnsi="Arial" w:cs="Arial"/>
          <w:sz w:val="20"/>
          <w:szCs w:val="20"/>
        </w:rPr>
      </w:pPr>
    </w:p>
    <w:p w:rsidR="00E76C04" w:rsidRPr="00E76C04" w:rsidRDefault="00E76C04" w:rsidP="00E76C04">
      <w:pPr>
        <w:jc w:val="both"/>
        <w:rPr>
          <w:sz w:val="22"/>
          <w:szCs w:val="22"/>
        </w:rPr>
      </w:pPr>
      <w:r w:rsidRPr="00E76C04">
        <w:rPr>
          <w:rFonts w:ascii="Arial" w:eastAsia="Liberation Serif" w:hAnsi="Arial" w:cs="Arial"/>
          <w:sz w:val="22"/>
          <w:szCs w:val="22"/>
        </w:rPr>
        <w:t>In vista della prossima elezione comunale del 26 maggio 2019, le Organizzazioni Sindacali dei Pensionati Spi Cgil – Fnp Cisl – Uil Pensionati</w:t>
      </w:r>
      <w:r w:rsidR="009420F1">
        <w:rPr>
          <w:rFonts w:ascii="Arial" w:eastAsia="Liberation Serif" w:hAnsi="Arial" w:cs="Arial"/>
          <w:sz w:val="22"/>
          <w:szCs w:val="22"/>
        </w:rPr>
        <w:t xml:space="preserve"> di Monza e Brianza</w:t>
      </w:r>
      <w:r w:rsidRPr="00E76C04">
        <w:rPr>
          <w:rFonts w:ascii="Arial" w:eastAsia="Liberation Serif" w:hAnsi="Arial" w:cs="Arial"/>
          <w:sz w:val="22"/>
          <w:szCs w:val="22"/>
        </w:rPr>
        <w:t xml:space="preserve">, intendono con la presente “lettera aperta” indicare ai candidati sindaci, ai partiti, alle forze politiche, alle liste civiche, i temi che, </w:t>
      </w:r>
      <w:r w:rsidRPr="00E76C04">
        <w:rPr>
          <w:rFonts w:ascii="Arial" w:eastAsia="Liberation Serif" w:hAnsi="Arial" w:cs="Arial"/>
          <w:bCs/>
          <w:sz w:val="22"/>
          <w:szCs w:val="22"/>
        </w:rPr>
        <w:t>prioritariamente,</w:t>
      </w:r>
      <w:r w:rsidRPr="00E76C04">
        <w:rPr>
          <w:rFonts w:ascii="Arial" w:eastAsia="Liberation Serif" w:hAnsi="Arial" w:cs="Arial"/>
          <w:sz w:val="22"/>
          <w:szCs w:val="22"/>
        </w:rPr>
        <w:t xml:space="preserve"> dovrebbero caratterizzare gli impegni programmatici ed essere poi concretizzati nel mandato amministrativo.</w:t>
      </w:r>
    </w:p>
    <w:p w:rsidR="00E76C04" w:rsidRPr="00E76C04" w:rsidRDefault="00E76C04" w:rsidP="00E76C04">
      <w:pPr>
        <w:jc w:val="both"/>
        <w:rPr>
          <w:sz w:val="22"/>
          <w:szCs w:val="22"/>
        </w:rPr>
      </w:pPr>
    </w:p>
    <w:p w:rsidR="00E76C04" w:rsidRPr="00E76C04" w:rsidRDefault="00E76C04" w:rsidP="00E76C04">
      <w:pPr>
        <w:jc w:val="both"/>
        <w:rPr>
          <w:sz w:val="22"/>
          <w:szCs w:val="22"/>
        </w:rPr>
      </w:pPr>
      <w:r w:rsidRPr="00E76C04">
        <w:rPr>
          <w:rFonts w:ascii="Arial" w:eastAsia="Liberation Serif" w:hAnsi="Arial" w:cs="Arial"/>
          <w:sz w:val="22"/>
          <w:szCs w:val="22"/>
        </w:rPr>
        <w:t>Come è noto, le scriventi Organizzazioni Sindacali da anni svolgono, grazie anche all’impegno di molti attivisti e volontari, l’attività di contrattazione sociale con i Comuni volta ad un confronto che, partendo dall’analisi dei bisogni sociali delle nostre comunità, individui gli interventi più idonei per farvi fronte. Ciò allo scopo di assicurare condizioni dignitose alle persone, ai lavoratori, ai pensionati, ai giovani e ai disoccupati, attraverso scelte eque e solidali; il tutto finalizzato all’obiettivo di un “benessere di comunità”.</w:t>
      </w:r>
    </w:p>
    <w:p w:rsidR="00E76C04" w:rsidRDefault="00E76C04" w:rsidP="00E76C04">
      <w:pPr>
        <w:jc w:val="both"/>
        <w:rPr>
          <w:rFonts w:ascii="Arial" w:eastAsia="Liberation Serif" w:hAnsi="Arial" w:cs="Arial"/>
          <w:sz w:val="22"/>
          <w:szCs w:val="22"/>
        </w:rPr>
      </w:pPr>
    </w:p>
    <w:p w:rsidR="00C05171" w:rsidRDefault="00C05171" w:rsidP="00E76C04">
      <w:pPr>
        <w:jc w:val="both"/>
        <w:rPr>
          <w:rFonts w:ascii="Arial" w:eastAsia="Liberation Serif" w:hAnsi="Arial" w:cs="Arial"/>
          <w:sz w:val="22"/>
          <w:szCs w:val="22"/>
        </w:rPr>
      </w:pPr>
      <w:r>
        <w:rPr>
          <w:rFonts w:ascii="Arial" w:eastAsia="Liberation Serif" w:hAnsi="Arial" w:cs="Arial"/>
          <w:sz w:val="22"/>
          <w:szCs w:val="22"/>
        </w:rPr>
        <w:t>In questa fase, siamo convinti che sia importante ancorare ogni comportamento ai valori costituzionali, per coniugare la democrazia con la partecipazione, la coesione sociale con l’inclusione, la sicurezza con l’estensione dei diritti sociali e civili.</w:t>
      </w:r>
    </w:p>
    <w:p w:rsidR="00C05171" w:rsidRPr="00E76C04" w:rsidRDefault="00C05171" w:rsidP="00E76C04">
      <w:pPr>
        <w:jc w:val="both"/>
        <w:rPr>
          <w:rFonts w:ascii="Arial" w:eastAsia="Liberation Serif" w:hAnsi="Arial" w:cs="Arial"/>
          <w:sz w:val="22"/>
          <w:szCs w:val="22"/>
        </w:rPr>
      </w:pPr>
    </w:p>
    <w:p w:rsidR="00E76C04" w:rsidRPr="00E76C04" w:rsidRDefault="00E76C04" w:rsidP="00E76C04">
      <w:pPr>
        <w:jc w:val="both"/>
        <w:rPr>
          <w:sz w:val="22"/>
          <w:szCs w:val="22"/>
        </w:rPr>
      </w:pPr>
      <w:r w:rsidRPr="00E76C04">
        <w:rPr>
          <w:rFonts w:ascii="Arial" w:eastAsia="Liberation Serif" w:hAnsi="Arial" w:cs="Arial"/>
          <w:sz w:val="22"/>
          <w:szCs w:val="22"/>
        </w:rPr>
        <w:t>I temi che intendiamo mettere in evidenza sono purtroppo ancora pesantemente condizionati dal perdurare di una crisi, che se non affrontata con la dovuta consapevolezza e responsabilità anche a livello locale, rischia di compromettere quella coesione sociale che la nostra comunità ha sempre costituito, anche in momenti forse più difficili, una sicura risorsa.</w:t>
      </w:r>
    </w:p>
    <w:p w:rsidR="00E76C04" w:rsidRPr="00E76C04" w:rsidRDefault="00E76C04" w:rsidP="00E76C04">
      <w:pPr>
        <w:jc w:val="both"/>
        <w:rPr>
          <w:rFonts w:ascii="Arial" w:eastAsia="Liberation Serif" w:hAnsi="Arial" w:cs="Arial"/>
          <w:sz w:val="22"/>
          <w:szCs w:val="22"/>
        </w:rPr>
      </w:pPr>
    </w:p>
    <w:p w:rsidR="00E76C04" w:rsidRPr="00E76C04" w:rsidRDefault="00E76C04" w:rsidP="00E76C04">
      <w:pPr>
        <w:jc w:val="both"/>
        <w:rPr>
          <w:sz w:val="22"/>
          <w:szCs w:val="22"/>
        </w:rPr>
      </w:pPr>
      <w:r w:rsidRPr="00E76C04">
        <w:rPr>
          <w:rFonts w:ascii="Arial" w:eastAsia="Liberation Serif" w:hAnsi="Arial" w:cs="Arial"/>
          <w:sz w:val="22"/>
          <w:szCs w:val="22"/>
        </w:rPr>
        <w:t>In particolare vorremmo un confronto sulle misure per affrontare le diverse povertà che questa crisi fa emergere in maniera sempre più evidente, a partire dalle necessità primarie (generi alimentari, utenze domestiche, ticket sanitari, accesso ai giovani alla scuola), sino ai bisogni strutturali quali la casa, il lavoro, la solitudine, il benessere sociale, la sicurezza, la legalità, il contrasto e recupero dell’evasione fiscale e al gioco d’azzardo patologico (</w:t>
      </w:r>
      <w:proofErr w:type="spellStart"/>
      <w:r w:rsidRPr="00E76C04">
        <w:rPr>
          <w:rFonts w:ascii="Arial" w:eastAsia="Liberation Serif" w:hAnsi="Arial" w:cs="Arial"/>
          <w:sz w:val="22"/>
          <w:szCs w:val="22"/>
        </w:rPr>
        <w:t>ludopatia</w:t>
      </w:r>
      <w:proofErr w:type="spellEnd"/>
      <w:r w:rsidRPr="00E76C04">
        <w:rPr>
          <w:rFonts w:ascii="Arial" w:eastAsia="Liberation Serif" w:hAnsi="Arial" w:cs="Arial"/>
          <w:sz w:val="22"/>
          <w:szCs w:val="22"/>
        </w:rPr>
        <w:t>).</w:t>
      </w:r>
    </w:p>
    <w:p w:rsidR="00E76C04" w:rsidRPr="00E76C04" w:rsidRDefault="00E76C04" w:rsidP="00E76C04">
      <w:pPr>
        <w:jc w:val="both"/>
        <w:rPr>
          <w:rFonts w:ascii="Arial" w:eastAsia="Liberation Serif" w:hAnsi="Arial" w:cs="Arial"/>
          <w:sz w:val="22"/>
          <w:szCs w:val="22"/>
        </w:rPr>
      </w:pPr>
    </w:p>
    <w:p w:rsidR="00E76C04" w:rsidRPr="00E76C04" w:rsidRDefault="00E76C04" w:rsidP="00E76C04">
      <w:pPr>
        <w:jc w:val="both"/>
        <w:rPr>
          <w:sz w:val="22"/>
          <w:szCs w:val="22"/>
        </w:rPr>
      </w:pPr>
      <w:r w:rsidRPr="00E76C04">
        <w:rPr>
          <w:rFonts w:ascii="Arial" w:eastAsia="Liberation Serif" w:hAnsi="Arial" w:cs="Arial"/>
          <w:sz w:val="22"/>
          <w:szCs w:val="22"/>
        </w:rPr>
        <w:t>Riteniamo pertanto indifferibile che il Comune predisponga:</w:t>
      </w:r>
    </w:p>
    <w:p w:rsidR="00E76C04" w:rsidRPr="00E76C04" w:rsidRDefault="00E76C04" w:rsidP="00E76C04">
      <w:pPr>
        <w:numPr>
          <w:ilvl w:val="0"/>
          <w:numId w:val="1"/>
        </w:numPr>
        <w:jc w:val="both"/>
        <w:rPr>
          <w:sz w:val="22"/>
          <w:szCs w:val="22"/>
        </w:rPr>
      </w:pPr>
      <w:r w:rsidRPr="00E76C04">
        <w:rPr>
          <w:rFonts w:ascii="Arial" w:eastAsia="Liberation Serif" w:hAnsi="Arial" w:cs="Arial"/>
          <w:sz w:val="22"/>
          <w:szCs w:val="22"/>
        </w:rPr>
        <w:t>Misure sul disagio economico e sociale</w:t>
      </w:r>
    </w:p>
    <w:p w:rsidR="00E76C04" w:rsidRPr="00E76C04" w:rsidRDefault="00E76C04" w:rsidP="00E76C04">
      <w:pPr>
        <w:numPr>
          <w:ilvl w:val="0"/>
          <w:numId w:val="1"/>
        </w:numPr>
        <w:jc w:val="both"/>
        <w:rPr>
          <w:sz w:val="22"/>
          <w:szCs w:val="22"/>
        </w:rPr>
      </w:pPr>
      <w:r w:rsidRPr="00E76C04">
        <w:rPr>
          <w:rFonts w:ascii="Arial" w:eastAsia="Liberation Serif" w:hAnsi="Arial" w:cs="Arial"/>
          <w:sz w:val="22"/>
          <w:szCs w:val="22"/>
        </w:rPr>
        <w:t>Misure per favorire la coesione sociale e la sicurezza urbana</w:t>
      </w:r>
    </w:p>
    <w:p w:rsidR="00E76C04" w:rsidRPr="00E76C04" w:rsidRDefault="00E76C04" w:rsidP="00E76C04">
      <w:pPr>
        <w:numPr>
          <w:ilvl w:val="0"/>
          <w:numId w:val="1"/>
        </w:numPr>
        <w:jc w:val="both"/>
        <w:rPr>
          <w:sz w:val="22"/>
          <w:szCs w:val="22"/>
        </w:rPr>
      </w:pPr>
      <w:r w:rsidRPr="00E76C04">
        <w:rPr>
          <w:rFonts w:ascii="Arial" w:eastAsia="Liberation Serif" w:hAnsi="Arial" w:cs="Arial"/>
          <w:sz w:val="22"/>
          <w:szCs w:val="22"/>
        </w:rPr>
        <w:t>Politiche di Bilancio eque e partecipate</w:t>
      </w:r>
    </w:p>
    <w:p w:rsidR="00E76C04" w:rsidRPr="00E76C04" w:rsidRDefault="00E76C04" w:rsidP="00E76C04">
      <w:pPr>
        <w:numPr>
          <w:ilvl w:val="0"/>
          <w:numId w:val="1"/>
        </w:numPr>
        <w:jc w:val="both"/>
        <w:rPr>
          <w:sz w:val="22"/>
          <w:szCs w:val="22"/>
        </w:rPr>
      </w:pPr>
      <w:r w:rsidRPr="00E76C04">
        <w:rPr>
          <w:rFonts w:ascii="Arial" w:eastAsia="Liberation Serif" w:hAnsi="Arial" w:cs="Arial"/>
          <w:sz w:val="22"/>
          <w:szCs w:val="22"/>
        </w:rPr>
        <w:t>Bilancio Sociale e di Genere</w:t>
      </w:r>
    </w:p>
    <w:p w:rsidR="00E76C04" w:rsidRPr="00E76C04" w:rsidRDefault="00E76C04" w:rsidP="00E76C04">
      <w:pPr>
        <w:numPr>
          <w:ilvl w:val="0"/>
          <w:numId w:val="1"/>
        </w:numPr>
        <w:jc w:val="both"/>
        <w:rPr>
          <w:sz w:val="22"/>
          <w:szCs w:val="22"/>
        </w:rPr>
      </w:pPr>
      <w:r w:rsidRPr="00E76C04">
        <w:rPr>
          <w:rFonts w:ascii="Arial" w:eastAsia="Liberation Serif" w:hAnsi="Arial" w:cs="Arial"/>
          <w:sz w:val="22"/>
          <w:szCs w:val="22"/>
        </w:rPr>
        <w:t>Politiche sociali per le solitudini e le fragilità</w:t>
      </w:r>
    </w:p>
    <w:p w:rsidR="00E76C04" w:rsidRPr="00E76C04" w:rsidRDefault="00E76C04" w:rsidP="00E76C04">
      <w:pPr>
        <w:numPr>
          <w:ilvl w:val="0"/>
          <w:numId w:val="1"/>
        </w:numPr>
        <w:jc w:val="both"/>
        <w:rPr>
          <w:sz w:val="22"/>
          <w:szCs w:val="22"/>
        </w:rPr>
      </w:pPr>
      <w:r w:rsidRPr="00E76C04">
        <w:rPr>
          <w:rFonts w:ascii="Arial" w:eastAsia="Liberation Serif" w:hAnsi="Arial" w:cs="Arial"/>
          <w:sz w:val="22"/>
          <w:szCs w:val="22"/>
        </w:rPr>
        <w:t>Politiche per la non autosufficienza, la disabilità, gli anziani</w:t>
      </w:r>
    </w:p>
    <w:p w:rsidR="00E76C04" w:rsidRPr="00E76C04" w:rsidRDefault="00E76C04" w:rsidP="00E76C04">
      <w:pPr>
        <w:numPr>
          <w:ilvl w:val="0"/>
          <w:numId w:val="1"/>
        </w:numPr>
        <w:jc w:val="both"/>
        <w:rPr>
          <w:sz w:val="22"/>
          <w:szCs w:val="22"/>
        </w:rPr>
      </w:pPr>
      <w:r w:rsidRPr="00E76C04">
        <w:rPr>
          <w:rFonts w:ascii="Arial" w:eastAsia="Liberation Serif" w:hAnsi="Arial" w:cs="Arial"/>
          <w:sz w:val="22"/>
          <w:szCs w:val="22"/>
        </w:rPr>
        <w:t>Politiche abitative del territorio e della sicurezza urbana</w:t>
      </w:r>
    </w:p>
    <w:p w:rsidR="00E76C04" w:rsidRPr="00E76C04" w:rsidRDefault="00E76C04" w:rsidP="00E76C04">
      <w:pPr>
        <w:numPr>
          <w:ilvl w:val="0"/>
          <w:numId w:val="1"/>
        </w:numPr>
        <w:jc w:val="both"/>
        <w:rPr>
          <w:sz w:val="22"/>
          <w:szCs w:val="22"/>
        </w:rPr>
      </w:pPr>
      <w:r w:rsidRPr="00E76C04">
        <w:rPr>
          <w:rFonts w:ascii="Arial" w:eastAsia="Liberation Serif" w:hAnsi="Arial" w:cs="Arial"/>
          <w:sz w:val="22"/>
          <w:szCs w:val="22"/>
        </w:rPr>
        <w:t>Politiche della mobilità sociale e dei trasporti</w:t>
      </w:r>
    </w:p>
    <w:p w:rsidR="00E76C04" w:rsidRPr="00E76C04" w:rsidRDefault="00E76C04" w:rsidP="00E76C04">
      <w:pPr>
        <w:jc w:val="both"/>
        <w:rPr>
          <w:rFonts w:ascii="Arial" w:eastAsia="Liberation Serif" w:hAnsi="Arial" w:cs="Arial"/>
          <w:sz w:val="22"/>
          <w:szCs w:val="22"/>
        </w:rPr>
      </w:pPr>
    </w:p>
    <w:p w:rsidR="00E76C04" w:rsidRPr="00E76C04" w:rsidRDefault="00E76C04" w:rsidP="00E76C04">
      <w:pPr>
        <w:jc w:val="both"/>
        <w:rPr>
          <w:sz w:val="22"/>
          <w:szCs w:val="22"/>
        </w:rPr>
      </w:pPr>
      <w:r w:rsidRPr="00E76C04">
        <w:rPr>
          <w:rFonts w:ascii="Arial" w:eastAsia="Liberation Serif" w:hAnsi="Arial" w:cs="Arial"/>
          <w:sz w:val="22"/>
          <w:szCs w:val="22"/>
        </w:rPr>
        <w:t>Per queste priorità le scriventi Organizzazioni Sindacali dei Pensionati dichiarano sin d’ora la disponibilità ad un confronto periodico, serrato e collaborativo con il Sindaco eletto e la sua Giunta, a partire dalla predisposizione del bilancio di previsione, sino ai regolamenti comunali inerenti alla fiscalità locale, tariffe, la nuova ISEE e tutto quanto concerne il “benessere di comunità”.</w:t>
      </w:r>
    </w:p>
    <w:p w:rsidR="00E76C04" w:rsidRPr="00E76C04" w:rsidRDefault="00E76C04" w:rsidP="00E76C04">
      <w:pPr>
        <w:jc w:val="both"/>
        <w:rPr>
          <w:rFonts w:ascii="Arial" w:eastAsia="Liberation Serif" w:hAnsi="Arial" w:cs="Arial"/>
          <w:sz w:val="22"/>
          <w:szCs w:val="22"/>
        </w:rPr>
      </w:pPr>
    </w:p>
    <w:p w:rsidR="00E76C04" w:rsidRPr="00E76C04" w:rsidRDefault="00E76C04" w:rsidP="00E76C04">
      <w:pPr>
        <w:jc w:val="both"/>
        <w:rPr>
          <w:sz w:val="22"/>
          <w:szCs w:val="22"/>
        </w:rPr>
      </w:pPr>
      <w:r w:rsidRPr="00E76C04">
        <w:rPr>
          <w:rFonts w:ascii="Arial" w:eastAsia="Liberation Serif" w:hAnsi="Arial" w:cs="Arial"/>
          <w:sz w:val="22"/>
          <w:szCs w:val="22"/>
        </w:rPr>
        <w:t xml:space="preserve">Formuliamo ai candidati l’augurio per un confronto centrato sui problemi delle persone e del territorio; </w:t>
      </w:r>
      <w:proofErr w:type="gramStart"/>
      <w:r w:rsidRPr="00E76C04">
        <w:rPr>
          <w:rFonts w:ascii="Arial" w:eastAsia="Liberation Serif" w:hAnsi="Arial" w:cs="Arial"/>
          <w:sz w:val="22"/>
          <w:szCs w:val="22"/>
        </w:rPr>
        <w:t>un</w:t>
      </w:r>
      <w:proofErr w:type="gramEnd"/>
      <w:r w:rsidRPr="00E76C04">
        <w:rPr>
          <w:rFonts w:ascii="Arial" w:eastAsia="Liberation Serif" w:hAnsi="Arial" w:cs="Arial"/>
          <w:sz w:val="22"/>
          <w:szCs w:val="22"/>
        </w:rPr>
        <w:t xml:space="preserve"> confronto attento e sensibile, per dovere di giustizia, alle persone in condizioni di maggiore fragilità sociale e economica.</w:t>
      </w:r>
    </w:p>
    <w:p w:rsidR="00E76C04" w:rsidRDefault="00E76C04" w:rsidP="00E76C04">
      <w:pPr>
        <w:jc w:val="both"/>
        <w:rPr>
          <w:rFonts w:ascii="Arial" w:eastAsia="Liberation Serif" w:hAnsi="Arial" w:cs="Arial"/>
          <w:sz w:val="20"/>
          <w:szCs w:val="20"/>
        </w:rPr>
      </w:pPr>
    </w:p>
    <w:p w:rsidR="00E76C04" w:rsidRPr="00E76C04" w:rsidRDefault="00E76C04" w:rsidP="00E76C04">
      <w:pPr>
        <w:jc w:val="both"/>
        <w:rPr>
          <w:b/>
          <w:sz w:val="22"/>
          <w:szCs w:val="22"/>
        </w:rPr>
      </w:pPr>
      <w:r w:rsidRPr="00E76C04">
        <w:rPr>
          <w:rFonts w:ascii="Arial" w:eastAsia="Liberation Serif" w:hAnsi="Arial" w:cs="Arial"/>
          <w:b/>
          <w:sz w:val="22"/>
          <w:szCs w:val="22"/>
        </w:rPr>
        <w:t>Spi C</w:t>
      </w:r>
      <w:r>
        <w:rPr>
          <w:rFonts w:ascii="Arial" w:eastAsia="Liberation Serif" w:hAnsi="Arial" w:cs="Arial"/>
          <w:b/>
          <w:sz w:val="22"/>
          <w:szCs w:val="22"/>
        </w:rPr>
        <w:t xml:space="preserve">gil Monza e Brianza         </w:t>
      </w:r>
      <w:r w:rsidRPr="00E76C04">
        <w:rPr>
          <w:rFonts w:ascii="Arial" w:eastAsia="Liberation Serif" w:hAnsi="Arial" w:cs="Arial"/>
          <w:b/>
          <w:sz w:val="22"/>
          <w:szCs w:val="22"/>
        </w:rPr>
        <w:t xml:space="preserve"> </w:t>
      </w:r>
      <w:r>
        <w:rPr>
          <w:rFonts w:ascii="Arial" w:eastAsia="Liberation Serif" w:hAnsi="Arial" w:cs="Arial"/>
          <w:b/>
          <w:sz w:val="22"/>
          <w:szCs w:val="22"/>
        </w:rPr>
        <w:t xml:space="preserve">    Fnp Cisl Monza e Lecco        </w:t>
      </w:r>
      <w:r w:rsidRPr="00E76C04">
        <w:rPr>
          <w:rFonts w:ascii="Arial" w:eastAsia="Liberation Serif" w:hAnsi="Arial" w:cs="Arial"/>
          <w:b/>
          <w:sz w:val="22"/>
          <w:szCs w:val="22"/>
        </w:rPr>
        <w:t xml:space="preserve">   Uil Pensionati Monza e Brianza</w:t>
      </w:r>
    </w:p>
    <w:p w:rsidR="009E58D4" w:rsidRPr="00C05171" w:rsidRDefault="00E76C04" w:rsidP="00C05171">
      <w:pPr>
        <w:jc w:val="both"/>
        <w:rPr>
          <w:b/>
          <w:sz w:val="22"/>
          <w:szCs w:val="22"/>
        </w:rPr>
      </w:pPr>
      <w:r w:rsidRPr="00E76C04">
        <w:rPr>
          <w:rFonts w:ascii="Arial" w:eastAsia="Arial" w:hAnsi="Arial" w:cs="Arial"/>
          <w:b/>
          <w:sz w:val="22"/>
          <w:szCs w:val="22"/>
        </w:rPr>
        <w:t xml:space="preserve">      </w:t>
      </w:r>
      <w:r w:rsidRPr="00E76C04">
        <w:rPr>
          <w:rFonts w:ascii="Arial" w:eastAsia="Liberation Serif" w:hAnsi="Arial" w:cs="Arial"/>
          <w:b/>
          <w:sz w:val="22"/>
          <w:szCs w:val="22"/>
        </w:rPr>
        <w:t xml:space="preserve">Pietro Albergoni              </w:t>
      </w:r>
      <w:r>
        <w:rPr>
          <w:rFonts w:ascii="Arial" w:eastAsia="Liberation Serif" w:hAnsi="Arial" w:cs="Arial"/>
          <w:b/>
          <w:sz w:val="22"/>
          <w:szCs w:val="22"/>
        </w:rPr>
        <w:t xml:space="preserve">       </w:t>
      </w:r>
      <w:r w:rsidRPr="00E76C04">
        <w:rPr>
          <w:rFonts w:ascii="Arial" w:eastAsia="Liberation Serif" w:hAnsi="Arial" w:cs="Arial"/>
          <w:b/>
          <w:sz w:val="22"/>
          <w:szCs w:val="22"/>
        </w:rPr>
        <w:t xml:space="preserve">    Giorgio Galbusera                           Claudio Coloretti</w:t>
      </w:r>
      <w:bookmarkStart w:id="0" w:name="_GoBack"/>
      <w:bookmarkEnd w:id="0"/>
    </w:p>
    <w:sectPr w:rsidR="009E58D4" w:rsidRPr="00C05171">
      <w:pgSz w:w="11906" w:h="16838"/>
      <w:pgMar w:top="660"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EuphemiaUCA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04"/>
    <w:rsid w:val="00152493"/>
    <w:rsid w:val="00297657"/>
    <w:rsid w:val="004C22AF"/>
    <w:rsid w:val="009420F1"/>
    <w:rsid w:val="009E58D4"/>
    <w:rsid w:val="00C05171"/>
    <w:rsid w:val="00CA5881"/>
    <w:rsid w:val="00E76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7BC05-48E2-47E4-A72D-A7289E7F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6C04"/>
    <w:pPr>
      <w:suppressAutoHyphens/>
      <w:spacing w:after="0" w:line="240" w:lineRule="auto"/>
    </w:pPr>
    <w:rPr>
      <w:rFonts w:ascii="Liberation Serif" w:eastAsia="Droid Sans Fallback" w:hAnsi="Liberation Serif" w:cs="FreeSans"/>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518</Words>
  <Characters>2956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Albergoni Pietro</dc:creator>
  <cp:keywords/>
  <dc:description/>
  <cp:lastModifiedBy>Albergoni Pietro</cp:lastModifiedBy>
  <cp:revision>6</cp:revision>
  <dcterms:created xsi:type="dcterms:W3CDTF">2019-04-01T07:59:00Z</dcterms:created>
  <dcterms:modified xsi:type="dcterms:W3CDTF">2019-04-29T06:00:00Z</dcterms:modified>
</cp:coreProperties>
</file>