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54" w:rsidRDefault="002F1C54" w:rsidP="002F1C54">
      <w:r>
        <w:rPr>
          <w:b/>
          <w:noProof/>
          <w:sz w:val="40"/>
          <w:szCs w:val="40"/>
        </w:rPr>
        <w:drawing>
          <wp:anchor distT="0" distB="0" distL="114300" distR="114300" simplePos="0" relativeHeight="251660288" behindDoc="0" locked="0" layoutInCell="1" allowOverlap="1">
            <wp:simplePos x="0" y="0"/>
            <wp:positionH relativeFrom="column">
              <wp:posOffset>22860</wp:posOffset>
            </wp:positionH>
            <wp:positionV relativeFrom="paragraph">
              <wp:posOffset>-147320</wp:posOffset>
            </wp:positionV>
            <wp:extent cx="1015200" cy="1368000"/>
            <wp:effectExtent l="0" t="0" r="0" b="3810"/>
            <wp:wrapNone/>
            <wp:docPr id="19" name="Immagine 19" descr="C:\LAVORI MONTEMURRO\2013\Lavori Lombardia\Evasione Fiscale\Logo Spi Berga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VORI MONTEMURRO\2013\Lavori Lombardia\Evasione Fiscale\Logo Spi Bergamo.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5200" cy="1368000"/>
                    </a:xfrm>
                    <a:prstGeom prst="rect">
                      <a:avLst/>
                    </a:prstGeom>
                    <a:noFill/>
                    <a:ln>
                      <a:noFill/>
                    </a:ln>
                  </pic:spPr>
                </pic:pic>
              </a:graphicData>
            </a:graphic>
          </wp:anchor>
        </w:drawing>
      </w:r>
      <w:r w:rsidRPr="001E4493">
        <w:rPr>
          <w:noProof/>
        </w:rPr>
        <w:drawing>
          <wp:anchor distT="0" distB="0" distL="114300" distR="114300" simplePos="0" relativeHeight="251659264" behindDoc="0" locked="0" layoutInCell="1" allowOverlap="1">
            <wp:simplePos x="0" y="0"/>
            <wp:positionH relativeFrom="column">
              <wp:posOffset>4988560</wp:posOffset>
            </wp:positionH>
            <wp:positionV relativeFrom="paragraph">
              <wp:posOffset>-122555</wp:posOffset>
            </wp:positionV>
            <wp:extent cx="1167765" cy="1111250"/>
            <wp:effectExtent l="0" t="0" r="0" b="0"/>
            <wp:wrapNone/>
            <wp:docPr id="5" name="Immagine 5" descr="E:\LAVORO MONTEMURRO\LAVORI 2012\Emergenze\Analisi Congiunturale Sistema di Credito\Logo_Ire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VORO MONTEMURRO\LAVORI 2012\Emergenze\Analisi Congiunturale Sistema di Credito\Logo_Ires_big.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7765" cy="1111250"/>
                    </a:xfrm>
                    <a:prstGeom prst="rect">
                      <a:avLst/>
                    </a:prstGeom>
                    <a:noFill/>
                    <a:ln>
                      <a:noFill/>
                    </a:ln>
                  </pic:spPr>
                </pic:pic>
              </a:graphicData>
            </a:graphic>
          </wp:anchor>
        </w:drawing>
      </w:r>
    </w:p>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Default="002F1C54" w:rsidP="002F1C54"/>
    <w:p w:rsidR="002F1C54" w:rsidRPr="002670F5" w:rsidRDefault="002F1C54" w:rsidP="002F1C54">
      <w:pPr>
        <w:spacing w:line="360" w:lineRule="auto"/>
        <w:jc w:val="center"/>
        <w:rPr>
          <w:b/>
          <w:sz w:val="40"/>
          <w:szCs w:val="40"/>
        </w:rPr>
      </w:pPr>
      <w:r w:rsidRPr="002670F5">
        <w:rPr>
          <w:b/>
          <w:sz w:val="40"/>
          <w:szCs w:val="40"/>
        </w:rPr>
        <w:t xml:space="preserve">Stima del lavoro sommerso e del rischio di evasione fiscale nella provincia di </w:t>
      </w:r>
      <w:r>
        <w:rPr>
          <w:b/>
          <w:sz w:val="40"/>
          <w:szCs w:val="40"/>
        </w:rPr>
        <w:t>Bergamo</w:t>
      </w:r>
    </w:p>
    <w:p w:rsidR="002F1C54" w:rsidRDefault="002F1C54" w:rsidP="002F1C54">
      <w:pPr>
        <w:spacing w:line="360" w:lineRule="auto"/>
        <w:jc w:val="center"/>
        <w:rPr>
          <w:b/>
          <w:sz w:val="28"/>
          <w:szCs w:val="28"/>
        </w:rPr>
      </w:pPr>
    </w:p>
    <w:p w:rsidR="002F1C54" w:rsidRDefault="002F1C54" w:rsidP="002F1C54">
      <w:pPr>
        <w:spacing w:line="360" w:lineRule="auto"/>
        <w:jc w:val="center"/>
        <w:rPr>
          <w:b/>
          <w:sz w:val="28"/>
          <w:szCs w:val="28"/>
        </w:rPr>
      </w:pPr>
    </w:p>
    <w:p w:rsidR="002F1C54" w:rsidRDefault="002F1C54" w:rsidP="002F1C54">
      <w:pPr>
        <w:pStyle w:val="Default"/>
      </w:pPr>
    </w:p>
    <w:p w:rsidR="002F1C54" w:rsidRDefault="002F1C54" w:rsidP="002F1C54">
      <w:pPr>
        <w:pStyle w:val="Default"/>
        <w:jc w:val="center"/>
        <w:rPr>
          <w:rFonts w:ascii="Times New Roman" w:hAnsi="Times New Roman" w:cs="Times New Roman"/>
          <w:b/>
          <w:bCs/>
          <w:sz w:val="28"/>
          <w:szCs w:val="28"/>
        </w:rPr>
      </w:pPr>
      <w:r>
        <w:rPr>
          <w:rFonts w:ascii="Times New Roman" w:hAnsi="Times New Roman" w:cs="Times New Roman"/>
          <w:b/>
          <w:bCs/>
          <w:sz w:val="28"/>
          <w:szCs w:val="28"/>
        </w:rPr>
        <w:t>a cura dell’Ires Lucia Morosini</w:t>
      </w:r>
    </w:p>
    <w:p w:rsidR="002F1C54" w:rsidRPr="002670F5" w:rsidRDefault="002F1C54" w:rsidP="002F1C54">
      <w:pPr>
        <w:pStyle w:val="Default"/>
        <w:jc w:val="center"/>
        <w:rPr>
          <w:rFonts w:ascii="Times New Roman" w:hAnsi="Times New Roman" w:cs="Times New Roman"/>
          <w:b/>
          <w:bCs/>
          <w:sz w:val="28"/>
          <w:szCs w:val="28"/>
        </w:rPr>
      </w:pP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jc w:val="center"/>
        <w:rPr>
          <w:rFonts w:ascii="Times New Roman" w:hAnsi="Times New Roman" w:cs="Times New Roman"/>
          <w:sz w:val="28"/>
          <w:szCs w:val="28"/>
        </w:rPr>
      </w:pPr>
    </w:p>
    <w:p w:rsidR="002F1C54" w:rsidRPr="002670F5" w:rsidRDefault="002F1C54" w:rsidP="002F1C54">
      <w:pPr>
        <w:pStyle w:val="Default"/>
        <w:jc w:val="center"/>
        <w:rPr>
          <w:rFonts w:ascii="Times New Roman" w:hAnsi="Times New Roman" w:cs="Times New Roman"/>
          <w:sz w:val="28"/>
          <w:szCs w:val="28"/>
        </w:rPr>
      </w:pPr>
    </w:p>
    <w:p w:rsidR="002F1C54" w:rsidRPr="002670F5" w:rsidRDefault="002F1C54" w:rsidP="002F1C54">
      <w:pPr>
        <w:pStyle w:val="Default"/>
        <w:jc w:val="center"/>
        <w:rPr>
          <w:rFonts w:ascii="Times New Roman" w:hAnsi="Times New Roman" w:cs="Times New Roman"/>
          <w:b/>
          <w:bCs/>
          <w:sz w:val="28"/>
          <w:szCs w:val="28"/>
        </w:rPr>
      </w:pPr>
      <w:r w:rsidRPr="002670F5">
        <w:rPr>
          <w:rFonts w:ascii="Times New Roman" w:hAnsi="Times New Roman" w:cs="Times New Roman"/>
          <w:b/>
          <w:bCs/>
          <w:sz w:val="28"/>
          <w:szCs w:val="28"/>
        </w:rPr>
        <w:t>Coordinamento:</w:t>
      </w: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ind w:left="1416" w:firstLine="708"/>
        <w:rPr>
          <w:rFonts w:ascii="Times New Roman" w:hAnsi="Times New Roman" w:cs="Times New Roman"/>
          <w:sz w:val="28"/>
          <w:szCs w:val="28"/>
        </w:rPr>
      </w:pPr>
      <w:r w:rsidRPr="001E4493">
        <w:rPr>
          <w:rFonts w:ascii="Times New Roman" w:hAnsi="Times New Roman" w:cs="Times New Roman"/>
          <w:b/>
          <w:i/>
          <w:sz w:val="28"/>
          <w:szCs w:val="28"/>
        </w:rPr>
        <w:t xml:space="preserve">Spi CGIL </w:t>
      </w:r>
      <w:r>
        <w:rPr>
          <w:rFonts w:ascii="Times New Roman" w:hAnsi="Times New Roman" w:cs="Times New Roman"/>
          <w:b/>
          <w:i/>
          <w:sz w:val="28"/>
          <w:szCs w:val="28"/>
        </w:rPr>
        <w:t xml:space="preserve">Bergamo: </w:t>
      </w:r>
      <w:r>
        <w:rPr>
          <w:rFonts w:ascii="Times New Roman" w:hAnsi="Times New Roman" w:cs="Times New Roman"/>
          <w:b/>
          <w:i/>
          <w:sz w:val="28"/>
          <w:szCs w:val="28"/>
        </w:rPr>
        <w:tab/>
      </w:r>
      <w:r>
        <w:rPr>
          <w:rFonts w:ascii="Times New Roman" w:hAnsi="Times New Roman" w:cs="Times New Roman"/>
          <w:sz w:val="28"/>
          <w:szCs w:val="28"/>
        </w:rPr>
        <w:t>Giovanni Peracchi</w:t>
      </w:r>
      <w:r>
        <w:rPr>
          <w:rFonts w:ascii="Times New Roman" w:hAnsi="Times New Roman" w:cs="Times New Roman"/>
          <w:b/>
          <w:i/>
          <w:sz w:val="28"/>
          <w:szCs w:val="28"/>
        </w:rPr>
        <w:t xml:space="preserve"> </w:t>
      </w:r>
      <w:r>
        <w:rPr>
          <w:rFonts w:ascii="Times New Roman" w:hAnsi="Times New Roman" w:cs="Times New Roman"/>
          <w:b/>
          <w:i/>
          <w:sz w:val="28"/>
          <w:szCs w:val="28"/>
        </w:rPr>
        <w:tab/>
      </w:r>
    </w:p>
    <w:p w:rsidR="002F1C54" w:rsidRDefault="002F1C54" w:rsidP="002F1C54">
      <w:pPr>
        <w:pStyle w:val="Default"/>
        <w:jc w:val="center"/>
        <w:rPr>
          <w:rFonts w:ascii="Times New Roman" w:hAnsi="Times New Roman" w:cs="Times New Roman"/>
          <w:sz w:val="28"/>
          <w:szCs w:val="28"/>
        </w:rPr>
      </w:pPr>
    </w:p>
    <w:p w:rsidR="002F1C54" w:rsidRDefault="002F1C54" w:rsidP="002F1C54">
      <w:pPr>
        <w:pStyle w:val="Default"/>
        <w:ind w:left="1416" w:firstLine="708"/>
        <w:rPr>
          <w:rFonts w:ascii="Times New Roman" w:hAnsi="Times New Roman" w:cs="Times New Roman"/>
          <w:sz w:val="28"/>
          <w:szCs w:val="28"/>
        </w:rPr>
      </w:pPr>
      <w:r w:rsidRPr="00125C2A">
        <w:rPr>
          <w:rFonts w:ascii="Times New Roman" w:hAnsi="Times New Roman" w:cs="Times New Roman"/>
          <w:b/>
          <w:i/>
          <w:sz w:val="28"/>
          <w:szCs w:val="28"/>
        </w:rPr>
        <w:t>Ires Lucia Morosini</w:t>
      </w:r>
      <w:r>
        <w:rPr>
          <w:rFonts w:ascii="Times New Roman" w:hAnsi="Times New Roman" w:cs="Times New Roman"/>
          <w:sz w:val="28"/>
          <w:szCs w:val="28"/>
        </w:rPr>
        <w:t xml:space="preserve">: </w:t>
      </w:r>
      <w:r>
        <w:rPr>
          <w:rFonts w:ascii="Times New Roman" w:hAnsi="Times New Roman" w:cs="Times New Roman"/>
          <w:sz w:val="28"/>
          <w:szCs w:val="28"/>
        </w:rPr>
        <w:tab/>
        <w:t>Francesco Montemurro</w:t>
      </w:r>
    </w:p>
    <w:p w:rsidR="002F1C54" w:rsidRDefault="002F1C54" w:rsidP="002F1C54">
      <w:pPr>
        <w:pStyle w:val="Default"/>
        <w:jc w:val="center"/>
        <w:rPr>
          <w:rFonts w:ascii="Times New Roman" w:hAnsi="Times New Roman" w:cs="Times New Roman"/>
          <w:sz w:val="28"/>
          <w:szCs w:val="28"/>
        </w:rPr>
      </w:pPr>
    </w:p>
    <w:p w:rsidR="002F1C54" w:rsidRDefault="002F1C54" w:rsidP="002F1C54">
      <w:pPr>
        <w:spacing w:line="360" w:lineRule="auto"/>
        <w:jc w:val="center"/>
        <w:rPr>
          <w:b/>
          <w:bCs/>
          <w:sz w:val="28"/>
          <w:szCs w:val="28"/>
        </w:rPr>
      </w:pPr>
    </w:p>
    <w:p w:rsidR="002F1C54" w:rsidRDefault="002F1C54" w:rsidP="002F1C54">
      <w:pPr>
        <w:spacing w:line="360" w:lineRule="auto"/>
        <w:jc w:val="center"/>
        <w:rPr>
          <w:b/>
          <w:bCs/>
          <w:sz w:val="28"/>
          <w:szCs w:val="28"/>
        </w:rPr>
      </w:pPr>
    </w:p>
    <w:p w:rsidR="002F1C54" w:rsidRDefault="002F1C54" w:rsidP="002F1C54">
      <w:pPr>
        <w:spacing w:line="360" w:lineRule="auto"/>
        <w:jc w:val="center"/>
        <w:rPr>
          <w:b/>
          <w:bCs/>
          <w:sz w:val="28"/>
          <w:szCs w:val="28"/>
        </w:rPr>
      </w:pPr>
    </w:p>
    <w:p w:rsidR="002F1C54" w:rsidRDefault="002F1C54" w:rsidP="002F1C54">
      <w:pPr>
        <w:spacing w:line="360" w:lineRule="auto"/>
        <w:jc w:val="center"/>
        <w:rPr>
          <w:b/>
          <w:bCs/>
          <w:sz w:val="28"/>
          <w:szCs w:val="28"/>
        </w:rPr>
      </w:pPr>
    </w:p>
    <w:p w:rsidR="002F1C54" w:rsidRDefault="002F1C54" w:rsidP="002F1C54">
      <w:pPr>
        <w:spacing w:line="360" w:lineRule="auto"/>
        <w:jc w:val="center"/>
        <w:rPr>
          <w:b/>
          <w:bCs/>
          <w:sz w:val="28"/>
          <w:szCs w:val="28"/>
        </w:rPr>
      </w:pPr>
    </w:p>
    <w:p w:rsidR="002F1C54" w:rsidRPr="009B7976" w:rsidRDefault="002F1C54" w:rsidP="002F1C54">
      <w:pPr>
        <w:spacing w:line="360" w:lineRule="auto"/>
        <w:jc w:val="center"/>
        <w:rPr>
          <w:bCs/>
          <w:i/>
        </w:rPr>
      </w:pPr>
      <w:r w:rsidRPr="009B7976">
        <w:rPr>
          <w:bCs/>
          <w:i/>
        </w:rPr>
        <w:t>(bozza)</w:t>
      </w:r>
    </w:p>
    <w:p w:rsidR="002F1C54" w:rsidRDefault="002F1C54" w:rsidP="002F1C54">
      <w:pPr>
        <w:spacing w:line="360" w:lineRule="auto"/>
        <w:jc w:val="center"/>
        <w:rPr>
          <w:b/>
          <w:bCs/>
          <w:sz w:val="28"/>
          <w:szCs w:val="28"/>
        </w:rPr>
      </w:pPr>
    </w:p>
    <w:p w:rsidR="002F1C54" w:rsidRPr="00125C2A" w:rsidRDefault="002F1C54" w:rsidP="002F1C54">
      <w:pPr>
        <w:spacing w:line="360" w:lineRule="auto"/>
        <w:jc w:val="center"/>
        <w:rPr>
          <w:b/>
          <w:sz w:val="28"/>
          <w:szCs w:val="28"/>
        </w:rPr>
      </w:pPr>
      <w:r w:rsidRPr="00125C2A">
        <w:rPr>
          <w:b/>
          <w:bCs/>
          <w:sz w:val="28"/>
          <w:szCs w:val="28"/>
        </w:rPr>
        <w:t xml:space="preserve">- </w:t>
      </w:r>
      <w:r>
        <w:rPr>
          <w:b/>
          <w:bCs/>
          <w:sz w:val="28"/>
          <w:szCs w:val="28"/>
        </w:rPr>
        <w:t>Giugno</w:t>
      </w:r>
      <w:r w:rsidRPr="00125C2A">
        <w:rPr>
          <w:b/>
          <w:bCs/>
          <w:sz w:val="28"/>
          <w:szCs w:val="28"/>
        </w:rPr>
        <w:t xml:space="preserve"> 2013 -</w:t>
      </w:r>
    </w:p>
    <w:p w:rsidR="002F1C54" w:rsidRPr="00F4237A" w:rsidRDefault="002F1C54" w:rsidP="002F1C54">
      <w:pPr>
        <w:pBdr>
          <w:bottom w:val="single" w:sz="4" w:space="1" w:color="auto"/>
        </w:pBdr>
        <w:spacing w:line="360" w:lineRule="auto"/>
        <w:jc w:val="both"/>
        <w:rPr>
          <w:b/>
          <w:sz w:val="28"/>
          <w:szCs w:val="28"/>
        </w:rPr>
      </w:pPr>
      <w:r w:rsidRPr="00F4237A">
        <w:rPr>
          <w:b/>
          <w:sz w:val="28"/>
          <w:szCs w:val="28"/>
        </w:rPr>
        <w:lastRenderedPageBreak/>
        <w:t>INDICE</w:t>
      </w:r>
    </w:p>
    <w:sdt>
      <w:sdtPr>
        <w:rPr>
          <w:rFonts w:asciiTheme="minorHAnsi" w:eastAsia="Times New Roman" w:hAnsiTheme="minorHAnsi" w:cstheme="minorBidi"/>
          <w:b w:val="0"/>
          <w:bCs w:val="0"/>
          <w:sz w:val="22"/>
          <w:szCs w:val="22"/>
        </w:rPr>
        <w:id w:val="-1975893179"/>
        <w:docPartObj>
          <w:docPartGallery w:val="Table of Contents"/>
          <w:docPartUnique/>
        </w:docPartObj>
      </w:sdtPr>
      <w:sdtEndPr>
        <w:rPr>
          <w:rFonts w:ascii="Times New Roman" w:hAnsi="Times New Roman" w:cs="Times New Roman"/>
          <w:sz w:val="24"/>
          <w:szCs w:val="24"/>
        </w:rPr>
      </w:sdtEndPr>
      <w:sdtContent>
        <w:p w:rsidR="002F1C54" w:rsidRPr="00D77B0E" w:rsidRDefault="002F1C54" w:rsidP="002F1C54">
          <w:pPr>
            <w:pStyle w:val="Titolosommario"/>
            <w:rPr>
              <w:b w:val="0"/>
            </w:rPr>
          </w:pPr>
          <w:r>
            <w:t>Prima Parte</w:t>
          </w:r>
          <w:r w:rsidR="00D77B0E">
            <w:t>,</w:t>
          </w:r>
          <w:r>
            <w:t xml:space="preserve"> </w:t>
          </w:r>
          <w:r w:rsidR="00D77B0E" w:rsidRPr="00D77B0E">
            <w:rPr>
              <w:b w:val="0"/>
            </w:rPr>
            <w:t>a cura di Cristiano Buizza</w:t>
          </w:r>
        </w:p>
        <w:p w:rsidR="002F1C54" w:rsidRDefault="003D5421" w:rsidP="002F1C54">
          <w:pPr>
            <w:pStyle w:val="Sommario1"/>
            <w:tabs>
              <w:tab w:val="right" w:leader="dot" w:pos="9628"/>
            </w:tabs>
            <w:rPr>
              <w:noProof/>
            </w:rPr>
          </w:pPr>
          <w:r w:rsidRPr="003D5421">
            <w:fldChar w:fldCharType="begin"/>
          </w:r>
          <w:r w:rsidR="002F1C54">
            <w:instrText xml:space="preserve"> TOC \o "1-3" \h \z \u </w:instrText>
          </w:r>
          <w:r w:rsidRPr="003D5421">
            <w:fldChar w:fldCharType="separate"/>
          </w:r>
          <w:hyperlink w:anchor="_Toc359506050" w:history="1">
            <w:r w:rsidR="002F1C54" w:rsidRPr="00C94BCC">
              <w:rPr>
                <w:rStyle w:val="Collegamentoipertestuale"/>
                <w:noProof/>
              </w:rPr>
              <w:t>Introduzione</w:t>
            </w:r>
            <w:r w:rsidR="002F1C54">
              <w:rPr>
                <w:noProof/>
                <w:webHidden/>
              </w:rPr>
              <w:tab/>
            </w:r>
            <w:r>
              <w:rPr>
                <w:noProof/>
                <w:webHidden/>
              </w:rPr>
              <w:fldChar w:fldCharType="begin"/>
            </w:r>
            <w:r w:rsidR="002F1C54">
              <w:rPr>
                <w:noProof/>
                <w:webHidden/>
              </w:rPr>
              <w:instrText xml:space="preserve"> PAGEREF _Toc359506050 \h </w:instrText>
            </w:r>
            <w:r>
              <w:rPr>
                <w:noProof/>
                <w:webHidden/>
              </w:rPr>
            </w:r>
            <w:r>
              <w:rPr>
                <w:noProof/>
                <w:webHidden/>
              </w:rPr>
              <w:fldChar w:fldCharType="separate"/>
            </w:r>
            <w:r w:rsidR="0018582D">
              <w:rPr>
                <w:noProof/>
                <w:webHidden/>
              </w:rPr>
              <w:t>2</w:t>
            </w:r>
            <w:r>
              <w:rPr>
                <w:noProof/>
                <w:webHidden/>
              </w:rPr>
              <w:fldChar w:fldCharType="end"/>
            </w:r>
          </w:hyperlink>
        </w:p>
        <w:p w:rsidR="002F1C54" w:rsidRDefault="003D5421" w:rsidP="002F1C54">
          <w:pPr>
            <w:pStyle w:val="Sommario1"/>
            <w:tabs>
              <w:tab w:val="right" w:leader="dot" w:pos="9628"/>
            </w:tabs>
            <w:rPr>
              <w:noProof/>
            </w:rPr>
          </w:pPr>
          <w:hyperlink w:anchor="_Toc359506051" w:history="1">
            <w:r w:rsidR="002F1C54" w:rsidRPr="00C94BCC">
              <w:rPr>
                <w:rStyle w:val="Collegamentoipertestuale"/>
                <w:noProof/>
              </w:rPr>
              <w:t>Il sistema imprenditoriale della Lombardia</w:t>
            </w:r>
            <w:r w:rsidR="002F1C54">
              <w:rPr>
                <w:noProof/>
                <w:webHidden/>
              </w:rPr>
              <w:tab/>
            </w:r>
            <w:r>
              <w:rPr>
                <w:noProof/>
                <w:webHidden/>
              </w:rPr>
              <w:fldChar w:fldCharType="begin"/>
            </w:r>
            <w:r w:rsidR="002F1C54">
              <w:rPr>
                <w:noProof/>
                <w:webHidden/>
              </w:rPr>
              <w:instrText xml:space="preserve"> PAGEREF _Toc359506051 \h </w:instrText>
            </w:r>
            <w:r>
              <w:rPr>
                <w:noProof/>
                <w:webHidden/>
              </w:rPr>
            </w:r>
            <w:r>
              <w:rPr>
                <w:noProof/>
                <w:webHidden/>
              </w:rPr>
              <w:fldChar w:fldCharType="separate"/>
            </w:r>
            <w:r w:rsidR="0018582D">
              <w:rPr>
                <w:noProof/>
                <w:webHidden/>
              </w:rPr>
              <w:t>3</w:t>
            </w:r>
            <w:r>
              <w:rPr>
                <w:noProof/>
                <w:webHidden/>
              </w:rPr>
              <w:fldChar w:fldCharType="end"/>
            </w:r>
          </w:hyperlink>
        </w:p>
        <w:p w:rsidR="002F1C54" w:rsidRDefault="003D5421" w:rsidP="002F1C54">
          <w:pPr>
            <w:pStyle w:val="Sommario1"/>
            <w:tabs>
              <w:tab w:val="right" w:leader="dot" w:pos="9628"/>
            </w:tabs>
            <w:rPr>
              <w:noProof/>
            </w:rPr>
          </w:pPr>
          <w:hyperlink w:anchor="_Toc359506052" w:history="1">
            <w:r w:rsidR="002F1C54" w:rsidRPr="00C94BCC">
              <w:rPr>
                <w:rStyle w:val="Collegamentoipertestuale"/>
                <w:noProof/>
              </w:rPr>
              <w:t>Le stime dell’economia sommersa</w:t>
            </w:r>
            <w:r w:rsidR="002F1C54">
              <w:rPr>
                <w:noProof/>
                <w:webHidden/>
              </w:rPr>
              <w:tab/>
            </w:r>
            <w:r>
              <w:rPr>
                <w:noProof/>
                <w:webHidden/>
              </w:rPr>
              <w:fldChar w:fldCharType="begin"/>
            </w:r>
            <w:r w:rsidR="002F1C54">
              <w:rPr>
                <w:noProof/>
                <w:webHidden/>
              </w:rPr>
              <w:instrText xml:space="preserve"> PAGEREF _Toc359506052 \h </w:instrText>
            </w:r>
            <w:r>
              <w:rPr>
                <w:noProof/>
                <w:webHidden/>
              </w:rPr>
            </w:r>
            <w:r>
              <w:rPr>
                <w:noProof/>
                <w:webHidden/>
              </w:rPr>
              <w:fldChar w:fldCharType="separate"/>
            </w:r>
            <w:r w:rsidR="0018582D">
              <w:rPr>
                <w:noProof/>
                <w:webHidden/>
              </w:rPr>
              <w:t>17</w:t>
            </w:r>
            <w:r>
              <w:rPr>
                <w:noProof/>
                <w:webHidden/>
              </w:rPr>
              <w:fldChar w:fldCharType="end"/>
            </w:r>
          </w:hyperlink>
        </w:p>
        <w:p w:rsidR="002F1C54" w:rsidRDefault="003D5421" w:rsidP="002F1C54">
          <w:pPr>
            <w:pStyle w:val="Sommario2"/>
            <w:tabs>
              <w:tab w:val="right" w:leader="dot" w:pos="9628"/>
            </w:tabs>
            <w:rPr>
              <w:noProof/>
            </w:rPr>
          </w:pPr>
          <w:hyperlink w:anchor="_Toc359506053" w:history="1">
            <w:r w:rsidR="002F1C54" w:rsidRPr="00C94BCC">
              <w:rPr>
                <w:rStyle w:val="Collegamentoipertestuale"/>
                <w:rFonts w:ascii="Times New Roman" w:hAnsi="Times New Roman" w:cs="Times New Roman"/>
                <w:noProof/>
              </w:rPr>
              <w:t>Metodologia:</w:t>
            </w:r>
            <w:r w:rsidR="002F1C54">
              <w:rPr>
                <w:noProof/>
                <w:webHidden/>
              </w:rPr>
              <w:tab/>
            </w:r>
            <w:r>
              <w:rPr>
                <w:noProof/>
                <w:webHidden/>
              </w:rPr>
              <w:fldChar w:fldCharType="begin"/>
            </w:r>
            <w:r w:rsidR="002F1C54">
              <w:rPr>
                <w:noProof/>
                <w:webHidden/>
              </w:rPr>
              <w:instrText xml:space="preserve"> PAGEREF _Toc359506053 \h </w:instrText>
            </w:r>
            <w:r>
              <w:rPr>
                <w:noProof/>
                <w:webHidden/>
              </w:rPr>
            </w:r>
            <w:r>
              <w:rPr>
                <w:noProof/>
                <w:webHidden/>
              </w:rPr>
              <w:fldChar w:fldCharType="separate"/>
            </w:r>
            <w:r w:rsidR="0018582D">
              <w:rPr>
                <w:noProof/>
                <w:webHidden/>
              </w:rPr>
              <w:t>18</w:t>
            </w:r>
            <w:r>
              <w:rPr>
                <w:noProof/>
                <w:webHidden/>
              </w:rPr>
              <w:fldChar w:fldCharType="end"/>
            </w:r>
          </w:hyperlink>
        </w:p>
        <w:p w:rsidR="002F1C54" w:rsidRDefault="003D5421" w:rsidP="002F1C54">
          <w:pPr>
            <w:pStyle w:val="Sommario2"/>
            <w:tabs>
              <w:tab w:val="right" w:leader="dot" w:pos="9628"/>
            </w:tabs>
            <w:rPr>
              <w:noProof/>
            </w:rPr>
          </w:pPr>
          <w:hyperlink w:anchor="_Toc359506054" w:history="1">
            <w:r w:rsidR="002F1C54" w:rsidRPr="00C94BCC">
              <w:rPr>
                <w:rStyle w:val="Collegamentoipertestuale"/>
                <w:rFonts w:ascii="Times New Roman" w:hAnsi="Times New Roman" w:cs="Times New Roman"/>
                <w:noProof/>
              </w:rPr>
              <w:t>Il sommerso economico stimato dall’ISTAT</w:t>
            </w:r>
            <w:r w:rsidR="002F1C54">
              <w:rPr>
                <w:noProof/>
                <w:webHidden/>
              </w:rPr>
              <w:tab/>
            </w:r>
            <w:r>
              <w:rPr>
                <w:noProof/>
                <w:webHidden/>
              </w:rPr>
              <w:fldChar w:fldCharType="begin"/>
            </w:r>
            <w:r w:rsidR="002F1C54">
              <w:rPr>
                <w:noProof/>
                <w:webHidden/>
              </w:rPr>
              <w:instrText xml:space="preserve"> PAGEREF _Toc359506054 \h </w:instrText>
            </w:r>
            <w:r>
              <w:rPr>
                <w:noProof/>
                <w:webHidden/>
              </w:rPr>
            </w:r>
            <w:r>
              <w:rPr>
                <w:noProof/>
                <w:webHidden/>
              </w:rPr>
              <w:fldChar w:fldCharType="separate"/>
            </w:r>
            <w:r w:rsidR="0018582D">
              <w:rPr>
                <w:noProof/>
                <w:webHidden/>
              </w:rPr>
              <w:t>19</w:t>
            </w:r>
            <w:r>
              <w:rPr>
                <w:noProof/>
                <w:webHidden/>
              </w:rPr>
              <w:fldChar w:fldCharType="end"/>
            </w:r>
          </w:hyperlink>
        </w:p>
        <w:p w:rsidR="002F1C54" w:rsidRDefault="003D5421" w:rsidP="002F1C54">
          <w:pPr>
            <w:pStyle w:val="Sommario2"/>
            <w:tabs>
              <w:tab w:val="right" w:leader="dot" w:pos="9628"/>
            </w:tabs>
            <w:rPr>
              <w:noProof/>
            </w:rPr>
          </w:pPr>
          <w:hyperlink w:anchor="_Toc359506055" w:history="1">
            <w:r w:rsidR="002F1C54" w:rsidRPr="00C94BCC">
              <w:rPr>
                <w:rStyle w:val="Collegamentoipertestuale"/>
                <w:rFonts w:ascii="Times New Roman" w:hAnsi="Times New Roman" w:cs="Times New Roman"/>
                <w:noProof/>
              </w:rPr>
              <w:t>L’evasione fiscale basata sulla base imponibile IVA</w:t>
            </w:r>
            <w:r w:rsidR="002F1C54">
              <w:rPr>
                <w:noProof/>
                <w:webHidden/>
              </w:rPr>
              <w:tab/>
            </w:r>
            <w:r>
              <w:rPr>
                <w:noProof/>
                <w:webHidden/>
              </w:rPr>
              <w:fldChar w:fldCharType="begin"/>
            </w:r>
            <w:r w:rsidR="002F1C54">
              <w:rPr>
                <w:noProof/>
                <w:webHidden/>
              </w:rPr>
              <w:instrText xml:space="preserve"> PAGEREF _Toc359506055 \h </w:instrText>
            </w:r>
            <w:r>
              <w:rPr>
                <w:noProof/>
                <w:webHidden/>
              </w:rPr>
            </w:r>
            <w:r>
              <w:rPr>
                <w:noProof/>
                <w:webHidden/>
              </w:rPr>
              <w:fldChar w:fldCharType="separate"/>
            </w:r>
            <w:r w:rsidR="0018582D">
              <w:rPr>
                <w:noProof/>
                <w:webHidden/>
              </w:rPr>
              <w:t>23</w:t>
            </w:r>
            <w:r>
              <w:rPr>
                <w:noProof/>
                <w:webHidden/>
              </w:rPr>
              <w:fldChar w:fldCharType="end"/>
            </w:r>
          </w:hyperlink>
        </w:p>
        <w:p w:rsidR="002F1C54" w:rsidRDefault="003D5421" w:rsidP="002F1C54">
          <w:pPr>
            <w:pStyle w:val="Sommario2"/>
            <w:tabs>
              <w:tab w:val="right" w:leader="dot" w:pos="9628"/>
            </w:tabs>
            <w:rPr>
              <w:noProof/>
            </w:rPr>
          </w:pPr>
          <w:hyperlink w:anchor="_Toc359506056" w:history="1">
            <w:r w:rsidR="002F1C54" w:rsidRPr="00C94BCC">
              <w:rPr>
                <w:rStyle w:val="Collegamentoipertestuale"/>
                <w:rFonts w:ascii="Times New Roman" w:hAnsi="Times New Roman" w:cs="Times New Roman"/>
                <w:noProof/>
              </w:rPr>
              <w:t>L’evasione fiscale fondata sui dati IRAP</w:t>
            </w:r>
            <w:r w:rsidR="002F1C54">
              <w:rPr>
                <w:noProof/>
                <w:webHidden/>
              </w:rPr>
              <w:tab/>
            </w:r>
            <w:r>
              <w:rPr>
                <w:noProof/>
                <w:webHidden/>
              </w:rPr>
              <w:fldChar w:fldCharType="begin"/>
            </w:r>
            <w:r w:rsidR="002F1C54">
              <w:rPr>
                <w:noProof/>
                <w:webHidden/>
              </w:rPr>
              <w:instrText xml:space="preserve"> PAGEREF _Toc359506056 \h </w:instrText>
            </w:r>
            <w:r>
              <w:rPr>
                <w:noProof/>
                <w:webHidden/>
              </w:rPr>
            </w:r>
            <w:r>
              <w:rPr>
                <w:noProof/>
                <w:webHidden/>
              </w:rPr>
              <w:fldChar w:fldCharType="separate"/>
            </w:r>
            <w:r w:rsidR="0018582D">
              <w:rPr>
                <w:noProof/>
                <w:webHidden/>
              </w:rPr>
              <w:t>25</w:t>
            </w:r>
            <w:r>
              <w:rPr>
                <w:noProof/>
                <w:webHidden/>
              </w:rPr>
              <w:fldChar w:fldCharType="end"/>
            </w:r>
          </w:hyperlink>
        </w:p>
        <w:p w:rsidR="002F1C54" w:rsidRDefault="003D5421" w:rsidP="002F1C54">
          <w:pPr>
            <w:pStyle w:val="Sommario1"/>
            <w:tabs>
              <w:tab w:val="right" w:leader="dot" w:pos="9628"/>
            </w:tabs>
            <w:rPr>
              <w:noProof/>
            </w:rPr>
          </w:pPr>
          <w:hyperlink w:anchor="_Toc359506057" w:history="1">
            <w:r w:rsidR="002F1C54" w:rsidRPr="00C94BCC">
              <w:rPr>
                <w:rStyle w:val="Collegamentoipertestuale"/>
                <w:noProof/>
              </w:rPr>
              <w:t>Entità dell’evasione a livello regionale e stima dell’indice di rischio di evasione</w:t>
            </w:r>
            <w:r w:rsidR="002F1C54">
              <w:rPr>
                <w:noProof/>
                <w:webHidden/>
              </w:rPr>
              <w:tab/>
            </w:r>
            <w:r>
              <w:rPr>
                <w:noProof/>
                <w:webHidden/>
              </w:rPr>
              <w:fldChar w:fldCharType="begin"/>
            </w:r>
            <w:r w:rsidR="002F1C54">
              <w:rPr>
                <w:noProof/>
                <w:webHidden/>
              </w:rPr>
              <w:instrText xml:space="preserve"> PAGEREF _Toc359506057 \h </w:instrText>
            </w:r>
            <w:r>
              <w:rPr>
                <w:noProof/>
                <w:webHidden/>
              </w:rPr>
            </w:r>
            <w:r>
              <w:rPr>
                <w:noProof/>
                <w:webHidden/>
              </w:rPr>
              <w:fldChar w:fldCharType="separate"/>
            </w:r>
            <w:r w:rsidR="0018582D">
              <w:rPr>
                <w:noProof/>
                <w:webHidden/>
              </w:rPr>
              <w:t>34</w:t>
            </w:r>
            <w:r>
              <w:rPr>
                <w:noProof/>
                <w:webHidden/>
              </w:rPr>
              <w:fldChar w:fldCharType="end"/>
            </w:r>
          </w:hyperlink>
        </w:p>
        <w:p w:rsidR="002F1C54" w:rsidRDefault="003D5421" w:rsidP="002F1C54">
          <w:pPr>
            <w:pStyle w:val="Sommario2"/>
            <w:tabs>
              <w:tab w:val="right" w:leader="dot" w:pos="9628"/>
            </w:tabs>
            <w:rPr>
              <w:noProof/>
            </w:rPr>
          </w:pPr>
          <w:hyperlink w:anchor="_Toc359506058" w:history="1">
            <w:r w:rsidR="002F1C54" w:rsidRPr="00C94BCC">
              <w:rPr>
                <w:rStyle w:val="Collegamentoipertestuale"/>
                <w:rFonts w:ascii="Times New Roman" w:hAnsi="Times New Roman" w:cs="Times New Roman"/>
                <w:noProof/>
              </w:rPr>
              <w:t>Sommerso ISTAT, Lombardia.</w:t>
            </w:r>
            <w:r w:rsidR="002F1C54">
              <w:rPr>
                <w:noProof/>
                <w:webHidden/>
              </w:rPr>
              <w:tab/>
            </w:r>
            <w:r>
              <w:rPr>
                <w:noProof/>
                <w:webHidden/>
              </w:rPr>
              <w:fldChar w:fldCharType="begin"/>
            </w:r>
            <w:r w:rsidR="002F1C54">
              <w:rPr>
                <w:noProof/>
                <w:webHidden/>
              </w:rPr>
              <w:instrText xml:space="preserve"> PAGEREF _Toc359506058 \h </w:instrText>
            </w:r>
            <w:r>
              <w:rPr>
                <w:noProof/>
                <w:webHidden/>
              </w:rPr>
            </w:r>
            <w:r>
              <w:rPr>
                <w:noProof/>
                <w:webHidden/>
              </w:rPr>
              <w:fldChar w:fldCharType="separate"/>
            </w:r>
            <w:r w:rsidR="0018582D">
              <w:rPr>
                <w:noProof/>
                <w:webHidden/>
              </w:rPr>
              <w:t>34</w:t>
            </w:r>
            <w:r>
              <w:rPr>
                <w:noProof/>
                <w:webHidden/>
              </w:rPr>
              <w:fldChar w:fldCharType="end"/>
            </w:r>
          </w:hyperlink>
        </w:p>
        <w:p w:rsidR="002F1C54" w:rsidRDefault="003D5421" w:rsidP="002F1C54">
          <w:pPr>
            <w:pStyle w:val="Sommario2"/>
            <w:tabs>
              <w:tab w:val="right" w:leader="dot" w:pos="9628"/>
            </w:tabs>
            <w:rPr>
              <w:noProof/>
            </w:rPr>
          </w:pPr>
          <w:hyperlink w:anchor="_Toc359506059" w:history="1">
            <w:r w:rsidR="002F1C54" w:rsidRPr="00C94BCC">
              <w:rPr>
                <w:rStyle w:val="Collegamentoipertestuale"/>
                <w:rFonts w:ascii="Times New Roman" w:hAnsi="Times New Roman" w:cs="Times New Roman"/>
                <w:noProof/>
              </w:rPr>
              <w:t>Il gettito IVA e IRAP evaso (e relativa base imponibile)</w:t>
            </w:r>
            <w:r w:rsidR="002F1C54">
              <w:rPr>
                <w:noProof/>
                <w:webHidden/>
              </w:rPr>
              <w:tab/>
            </w:r>
            <w:r>
              <w:rPr>
                <w:noProof/>
                <w:webHidden/>
              </w:rPr>
              <w:fldChar w:fldCharType="begin"/>
            </w:r>
            <w:r w:rsidR="002F1C54">
              <w:rPr>
                <w:noProof/>
                <w:webHidden/>
              </w:rPr>
              <w:instrText xml:space="preserve"> PAGEREF _Toc359506059 \h </w:instrText>
            </w:r>
            <w:r>
              <w:rPr>
                <w:noProof/>
                <w:webHidden/>
              </w:rPr>
            </w:r>
            <w:r>
              <w:rPr>
                <w:noProof/>
                <w:webHidden/>
              </w:rPr>
              <w:fldChar w:fldCharType="separate"/>
            </w:r>
            <w:r w:rsidR="0018582D">
              <w:rPr>
                <w:noProof/>
                <w:webHidden/>
              </w:rPr>
              <w:t>36</w:t>
            </w:r>
            <w:r>
              <w:rPr>
                <w:noProof/>
                <w:webHidden/>
              </w:rPr>
              <w:fldChar w:fldCharType="end"/>
            </w:r>
          </w:hyperlink>
        </w:p>
        <w:p w:rsidR="002F1C54" w:rsidRDefault="003D5421" w:rsidP="002F1C54">
          <w:pPr>
            <w:pStyle w:val="Sommario1"/>
            <w:tabs>
              <w:tab w:val="right" w:leader="dot" w:pos="9628"/>
            </w:tabs>
            <w:rPr>
              <w:noProof/>
            </w:rPr>
          </w:pPr>
          <w:hyperlink w:anchor="_Toc359506060" w:history="1">
            <w:r w:rsidR="002F1C54" w:rsidRPr="00C94BCC">
              <w:rPr>
                <w:rStyle w:val="Collegamentoipertestuale"/>
                <w:noProof/>
              </w:rPr>
              <w:t>L’indicatore di rischio di evasione.</w:t>
            </w:r>
            <w:r w:rsidR="002F1C54">
              <w:rPr>
                <w:noProof/>
                <w:webHidden/>
              </w:rPr>
              <w:tab/>
            </w:r>
            <w:r>
              <w:rPr>
                <w:noProof/>
                <w:webHidden/>
              </w:rPr>
              <w:fldChar w:fldCharType="begin"/>
            </w:r>
            <w:r w:rsidR="002F1C54">
              <w:rPr>
                <w:noProof/>
                <w:webHidden/>
              </w:rPr>
              <w:instrText xml:space="preserve"> PAGEREF _Toc359506060 \h </w:instrText>
            </w:r>
            <w:r>
              <w:rPr>
                <w:noProof/>
                <w:webHidden/>
              </w:rPr>
            </w:r>
            <w:r>
              <w:rPr>
                <w:noProof/>
                <w:webHidden/>
              </w:rPr>
              <w:fldChar w:fldCharType="separate"/>
            </w:r>
            <w:r w:rsidR="0018582D">
              <w:rPr>
                <w:noProof/>
                <w:webHidden/>
              </w:rPr>
              <w:t>36</w:t>
            </w:r>
            <w:r>
              <w:rPr>
                <w:noProof/>
                <w:webHidden/>
              </w:rPr>
              <w:fldChar w:fldCharType="end"/>
            </w:r>
          </w:hyperlink>
        </w:p>
        <w:p w:rsidR="002F1C54" w:rsidRDefault="003D5421" w:rsidP="002F1C54">
          <w:pPr>
            <w:pStyle w:val="Sommario1"/>
            <w:tabs>
              <w:tab w:val="right" w:leader="dot" w:pos="9628"/>
            </w:tabs>
            <w:rPr>
              <w:noProof/>
            </w:rPr>
          </w:pPr>
          <w:hyperlink w:anchor="_Toc359506061" w:history="1">
            <w:r w:rsidR="002F1C54" w:rsidRPr="00C94BCC">
              <w:rPr>
                <w:rStyle w:val="Collegamentoipertestuale"/>
                <w:noProof/>
              </w:rPr>
              <w:t>L’indicatore di benessere a livello provinciale</w:t>
            </w:r>
            <w:r w:rsidR="002F1C54">
              <w:rPr>
                <w:noProof/>
                <w:webHidden/>
              </w:rPr>
              <w:tab/>
            </w:r>
            <w:r>
              <w:rPr>
                <w:noProof/>
                <w:webHidden/>
              </w:rPr>
              <w:fldChar w:fldCharType="begin"/>
            </w:r>
            <w:r w:rsidR="002F1C54">
              <w:rPr>
                <w:noProof/>
                <w:webHidden/>
              </w:rPr>
              <w:instrText xml:space="preserve"> PAGEREF _Toc359506061 \h </w:instrText>
            </w:r>
            <w:r>
              <w:rPr>
                <w:noProof/>
                <w:webHidden/>
              </w:rPr>
            </w:r>
            <w:r>
              <w:rPr>
                <w:noProof/>
                <w:webHidden/>
              </w:rPr>
              <w:fldChar w:fldCharType="separate"/>
            </w:r>
            <w:r w:rsidR="0018582D">
              <w:rPr>
                <w:noProof/>
                <w:webHidden/>
              </w:rPr>
              <w:t>38</w:t>
            </w:r>
            <w:r>
              <w:rPr>
                <w:noProof/>
                <w:webHidden/>
              </w:rPr>
              <w:fldChar w:fldCharType="end"/>
            </w:r>
          </w:hyperlink>
        </w:p>
        <w:p w:rsidR="002F1C54" w:rsidRDefault="002F1C54" w:rsidP="002F1C54">
          <w:pPr>
            <w:pStyle w:val="Titolosommario"/>
            <w:rPr>
              <w:noProof/>
            </w:rPr>
          </w:pPr>
          <w:r>
            <w:rPr>
              <w:noProof/>
            </w:rPr>
            <w:t>Seconda Parte</w:t>
          </w:r>
          <w:r w:rsidR="00D77B0E">
            <w:rPr>
              <w:noProof/>
            </w:rPr>
            <w:t>,</w:t>
          </w:r>
          <w:r>
            <w:rPr>
              <w:noProof/>
            </w:rPr>
            <w:t xml:space="preserve"> </w:t>
          </w:r>
          <w:r w:rsidR="00D77B0E" w:rsidRPr="00D77B0E">
            <w:rPr>
              <w:b w:val="0"/>
              <w:noProof/>
            </w:rPr>
            <w:t>a cura di Giulio Mancini</w:t>
          </w:r>
        </w:p>
        <w:p w:rsidR="002F1C54" w:rsidRDefault="003D5421" w:rsidP="002F1C54">
          <w:pPr>
            <w:pStyle w:val="Sommario1"/>
            <w:tabs>
              <w:tab w:val="right" w:leader="dot" w:pos="9628"/>
            </w:tabs>
            <w:rPr>
              <w:noProof/>
            </w:rPr>
          </w:pPr>
          <w:hyperlink w:anchor="_Toc359506062" w:history="1">
            <w:r w:rsidR="002F1C54" w:rsidRPr="00C94BCC">
              <w:rPr>
                <w:rStyle w:val="Collegamentoipertestuale"/>
                <w:noProof/>
              </w:rPr>
              <w:t>La provincia di Bergamo: l’indicatore di benessere a livello comunale</w:t>
            </w:r>
            <w:r w:rsidR="002F1C54">
              <w:rPr>
                <w:noProof/>
                <w:webHidden/>
              </w:rPr>
              <w:tab/>
            </w:r>
            <w:r>
              <w:rPr>
                <w:noProof/>
                <w:webHidden/>
              </w:rPr>
              <w:fldChar w:fldCharType="begin"/>
            </w:r>
            <w:r w:rsidR="002F1C54">
              <w:rPr>
                <w:noProof/>
                <w:webHidden/>
              </w:rPr>
              <w:instrText xml:space="preserve"> PAGEREF _Toc359506062 \h </w:instrText>
            </w:r>
            <w:r>
              <w:rPr>
                <w:noProof/>
                <w:webHidden/>
              </w:rPr>
            </w:r>
            <w:r>
              <w:rPr>
                <w:noProof/>
                <w:webHidden/>
              </w:rPr>
              <w:fldChar w:fldCharType="separate"/>
            </w:r>
            <w:r w:rsidR="0018582D">
              <w:rPr>
                <w:noProof/>
                <w:webHidden/>
              </w:rPr>
              <w:t>47</w:t>
            </w:r>
            <w:r>
              <w:rPr>
                <w:noProof/>
                <w:webHidden/>
              </w:rPr>
              <w:fldChar w:fldCharType="end"/>
            </w:r>
          </w:hyperlink>
        </w:p>
        <w:p w:rsidR="002F1C54" w:rsidRDefault="003D5421" w:rsidP="002F1C54">
          <w:pPr>
            <w:pStyle w:val="Sommario1"/>
            <w:tabs>
              <w:tab w:val="right" w:leader="dot" w:pos="9628"/>
            </w:tabs>
            <w:rPr>
              <w:noProof/>
            </w:rPr>
          </w:pPr>
          <w:hyperlink w:anchor="_Toc359506063" w:history="1">
            <w:r w:rsidR="002F1C54" w:rsidRPr="00C94BCC">
              <w:rPr>
                <w:rStyle w:val="Collegamentoipertestuale"/>
                <w:noProof/>
              </w:rPr>
              <w:t>Il sistema imprenditoriale nella provincia di Bergamo</w:t>
            </w:r>
            <w:r w:rsidR="002F1C54">
              <w:rPr>
                <w:noProof/>
                <w:webHidden/>
              </w:rPr>
              <w:tab/>
            </w:r>
            <w:r>
              <w:rPr>
                <w:noProof/>
                <w:webHidden/>
              </w:rPr>
              <w:fldChar w:fldCharType="begin"/>
            </w:r>
            <w:r w:rsidR="002F1C54">
              <w:rPr>
                <w:noProof/>
                <w:webHidden/>
              </w:rPr>
              <w:instrText xml:space="preserve"> PAGEREF _Toc359506063 \h </w:instrText>
            </w:r>
            <w:r>
              <w:rPr>
                <w:noProof/>
                <w:webHidden/>
              </w:rPr>
            </w:r>
            <w:r>
              <w:rPr>
                <w:noProof/>
                <w:webHidden/>
              </w:rPr>
              <w:fldChar w:fldCharType="separate"/>
            </w:r>
            <w:r w:rsidR="0018582D">
              <w:rPr>
                <w:noProof/>
                <w:webHidden/>
              </w:rPr>
              <w:t>49</w:t>
            </w:r>
            <w:r>
              <w:rPr>
                <w:noProof/>
                <w:webHidden/>
              </w:rPr>
              <w:fldChar w:fldCharType="end"/>
            </w:r>
          </w:hyperlink>
        </w:p>
        <w:p w:rsidR="002F1C54" w:rsidRDefault="003D5421" w:rsidP="002F1C54">
          <w:pPr>
            <w:pStyle w:val="Sommario1"/>
            <w:tabs>
              <w:tab w:val="right" w:leader="dot" w:pos="9628"/>
            </w:tabs>
            <w:rPr>
              <w:noProof/>
            </w:rPr>
          </w:pPr>
          <w:hyperlink w:anchor="_Toc359506064" w:history="1">
            <w:r w:rsidR="002F1C54" w:rsidRPr="00C94BCC">
              <w:rPr>
                <w:rStyle w:val="Collegamentoipertestuale"/>
                <w:noProof/>
              </w:rPr>
              <w:t>L’indice di rischio di evasione</w:t>
            </w:r>
            <w:r w:rsidR="002F1C54">
              <w:rPr>
                <w:noProof/>
                <w:webHidden/>
              </w:rPr>
              <w:tab/>
            </w:r>
            <w:r>
              <w:rPr>
                <w:noProof/>
                <w:webHidden/>
              </w:rPr>
              <w:fldChar w:fldCharType="begin"/>
            </w:r>
            <w:r w:rsidR="002F1C54">
              <w:rPr>
                <w:noProof/>
                <w:webHidden/>
              </w:rPr>
              <w:instrText xml:space="preserve"> PAGEREF _Toc359506064 \h </w:instrText>
            </w:r>
            <w:r>
              <w:rPr>
                <w:noProof/>
                <w:webHidden/>
              </w:rPr>
            </w:r>
            <w:r>
              <w:rPr>
                <w:noProof/>
                <w:webHidden/>
              </w:rPr>
              <w:fldChar w:fldCharType="separate"/>
            </w:r>
            <w:r w:rsidR="0018582D">
              <w:rPr>
                <w:noProof/>
                <w:webHidden/>
              </w:rPr>
              <w:t>55</w:t>
            </w:r>
            <w:r>
              <w:rPr>
                <w:noProof/>
                <w:webHidden/>
              </w:rPr>
              <w:fldChar w:fldCharType="end"/>
            </w:r>
          </w:hyperlink>
        </w:p>
        <w:p w:rsidR="00D77B0E" w:rsidRDefault="003D5421" w:rsidP="002F1C54">
          <w:pPr>
            <w:pStyle w:val="Sommario1"/>
            <w:tabs>
              <w:tab w:val="right" w:leader="dot" w:pos="9628"/>
            </w:tabs>
            <w:rPr>
              <w:b/>
              <w:bCs/>
            </w:rPr>
          </w:pPr>
          <w:r>
            <w:rPr>
              <w:b/>
              <w:bCs/>
            </w:rPr>
            <w:fldChar w:fldCharType="end"/>
          </w:r>
          <w:r w:rsidR="00D77B0E">
            <w:rPr>
              <w:b/>
              <w:bCs/>
            </w:rPr>
            <w:t xml:space="preserve">Terza Parte, </w:t>
          </w:r>
          <w:r w:rsidR="00D77B0E" w:rsidRPr="00D77B0E">
            <w:rPr>
              <w:bCs/>
            </w:rPr>
            <w:t>a cura di Francesco Montemurro</w:t>
          </w:r>
        </w:p>
        <w:p w:rsidR="00D77B0E" w:rsidRPr="00D77B0E" w:rsidRDefault="00D77B0E" w:rsidP="00D77B0E">
          <w:pPr>
            <w:spacing w:line="360" w:lineRule="auto"/>
            <w:rPr>
              <w:rFonts w:asciiTheme="minorHAnsi" w:hAnsiTheme="minorHAnsi"/>
              <w:sz w:val="22"/>
              <w:szCs w:val="22"/>
            </w:rPr>
          </w:pPr>
          <w:r w:rsidRPr="00D77B0E">
            <w:rPr>
              <w:rFonts w:asciiTheme="minorHAnsi" w:hAnsiTheme="minorHAnsi"/>
              <w:sz w:val="22"/>
              <w:szCs w:val="22"/>
            </w:rPr>
            <w:t>Premessa</w:t>
          </w:r>
          <w:r>
            <w:rPr>
              <w:rFonts w:asciiTheme="minorHAnsi" w:hAnsiTheme="minorHAnsi"/>
              <w:sz w:val="22"/>
              <w:szCs w:val="22"/>
            </w:rPr>
            <w:t>………………………………………………………………………………………………………………………………………………… 6</w:t>
          </w:r>
          <w:r w:rsidR="0090305A">
            <w:rPr>
              <w:rFonts w:asciiTheme="minorHAnsi" w:hAnsiTheme="minorHAnsi"/>
              <w:sz w:val="22"/>
              <w:szCs w:val="22"/>
            </w:rPr>
            <w:t>1</w:t>
          </w:r>
        </w:p>
        <w:p w:rsidR="00D77B0E" w:rsidRPr="00D77B0E" w:rsidRDefault="00D77B0E" w:rsidP="00D77B0E">
          <w:pPr>
            <w:pStyle w:val="Corpodeltesto"/>
            <w:rPr>
              <w:rFonts w:asciiTheme="minorHAnsi" w:hAnsiTheme="minorHAnsi"/>
              <w:sz w:val="22"/>
              <w:szCs w:val="22"/>
            </w:rPr>
          </w:pPr>
          <w:r w:rsidRPr="00D77B0E">
            <w:rPr>
              <w:rFonts w:asciiTheme="minorHAnsi" w:hAnsiTheme="minorHAnsi"/>
              <w:sz w:val="22"/>
              <w:szCs w:val="22"/>
            </w:rPr>
            <w:t>Trasformazioni sociali e indicatori sulla crisi economica</w:t>
          </w:r>
          <w:r w:rsidR="0090305A">
            <w:rPr>
              <w:rFonts w:asciiTheme="minorHAnsi" w:hAnsiTheme="minorHAnsi"/>
              <w:sz w:val="22"/>
              <w:szCs w:val="22"/>
            </w:rPr>
            <w:t>…………………………………………………………………………..62</w:t>
          </w:r>
        </w:p>
        <w:p w:rsidR="00D77B0E" w:rsidRPr="00D77B0E" w:rsidRDefault="00D77B0E" w:rsidP="00D77B0E">
          <w:pPr>
            <w:pStyle w:val="Titolo2"/>
            <w:spacing w:before="0" w:after="240"/>
            <w:rPr>
              <w:rFonts w:asciiTheme="minorHAnsi" w:hAnsiTheme="minorHAnsi" w:cs="Times New Roman"/>
              <w:b w:val="0"/>
              <w:sz w:val="22"/>
              <w:szCs w:val="22"/>
            </w:rPr>
          </w:pPr>
          <w:r w:rsidRPr="00D77B0E">
            <w:rPr>
              <w:rFonts w:asciiTheme="minorHAnsi" w:hAnsiTheme="minorHAnsi" w:cs="Times New Roman"/>
              <w:b w:val="0"/>
              <w:color w:val="auto"/>
              <w:sz w:val="22"/>
              <w:szCs w:val="22"/>
            </w:rPr>
            <w:t>I bilanci di previsione 2012 dei comuni della provincia di Bergamo</w:t>
          </w:r>
          <w:r w:rsidR="0090305A">
            <w:rPr>
              <w:rFonts w:asciiTheme="minorHAnsi" w:hAnsiTheme="minorHAnsi" w:cs="Times New Roman"/>
              <w:b w:val="0"/>
              <w:color w:val="auto"/>
              <w:sz w:val="22"/>
              <w:szCs w:val="22"/>
            </w:rPr>
            <w:t>………………………………………………………….72</w:t>
          </w:r>
        </w:p>
        <w:p w:rsidR="00D77B0E" w:rsidRPr="00D77B0E" w:rsidRDefault="00D77B0E" w:rsidP="00D77B0E">
          <w:pPr>
            <w:pStyle w:val="Titolo2"/>
            <w:spacing w:before="0" w:line="360" w:lineRule="auto"/>
            <w:rPr>
              <w:rFonts w:asciiTheme="minorHAnsi" w:hAnsiTheme="minorHAnsi" w:cs="Times New Roman"/>
              <w:b w:val="0"/>
              <w:color w:val="auto"/>
              <w:sz w:val="22"/>
              <w:szCs w:val="22"/>
            </w:rPr>
          </w:pPr>
          <w:bookmarkStart w:id="0" w:name="_Toc355947189"/>
          <w:bookmarkStart w:id="1" w:name="_Toc356470421"/>
          <w:r w:rsidRPr="00D77B0E">
            <w:rPr>
              <w:rFonts w:asciiTheme="minorHAnsi" w:hAnsiTheme="minorHAnsi" w:cs="Times New Roman"/>
              <w:b w:val="0"/>
              <w:color w:val="auto"/>
              <w:sz w:val="22"/>
              <w:szCs w:val="22"/>
            </w:rPr>
            <w:t>Progressività fiscale nell’applicazione dell’addizionale comunale all’Irpef</w:t>
          </w:r>
          <w:bookmarkEnd w:id="0"/>
          <w:bookmarkEnd w:id="1"/>
          <w:r w:rsidR="0090305A">
            <w:rPr>
              <w:rFonts w:asciiTheme="minorHAnsi" w:hAnsiTheme="minorHAnsi" w:cs="Times New Roman"/>
              <w:b w:val="0"/>
              <w:color w:val="auto"/>
              <w:sz w:val="22"/>
              <w:szCs w:val="22"/>
            </w:rPr>
            <w:t>………………………………………………  76</w:t>
          </w:r>
        </w:p>
        <w:p w:rsidR="00D77B0E" w:rsidRPr="00D77B0E" w:rsidRDefault="00D77B0E" w:rsidP="00D77B0E">
          <w:pPr>
            <w:spacing w:line="360" w:lineRule="auto"/>
            <w:rPr>
              <w:rFonts w:asciiTheme="minorHAnsi" w:hAnsiTheme="minorHAnsi"/>
              <w:sz w:val="22"/>
              <w:szCs w:val="22"/>
            </w:rPr>
          </w:pPr>
          <w:r w:rsidRPr="00D77B0E">
            <w:rPr>
              <w:rFonts w:asciiTheme="minorHAnsi" w:hAnsiTheme="minorHAnsi"/>
              <w:sz w:val="22"/>
              <w:szCs w:val="22"/>
            </w:rPr>
            <w:t>Conclusioni</w:t>
          </w:r>
          <w:r w:rsidR="0090305A">
            <w:rPr>
              <w:rFonts w:asciiTheme="minorHAnsi" w:hAnsiTheme="minorHAnsi"/>
              <w:sz w:val="22"/>
              <w:szCs w:val="22"/>
            </w:rPr>
            <w:t>……………………………………………………………………………………………………………………………………………….80</w:t>
          </w:r>
        </w:p>
        <w:p w:rsidR="00D77B0E" w:rsidRPr="00D77B0E" w:rsidRDefault="00D77B0E" w:rsidP="00D77B0E">
          <w:pPr>
            <w:spacing w:line="360" w:lineRule="auto"/>
            <w:rPr>
              <w:rFonts w:asciiTheme="minorHAnsi" w:hAnsiTheme="minorHAnsi"/>
              <w:sz w:val="22"/>
              <w:szCs w:val="22"/>
            </w:rPr>
          </w:pPr>
          <w:r w:rsidRPr="00D77B0E">
            <w:rPr>
              <w:rFonts w:asciiTheme="minorHAnsi" w:hAnsiTheme="minorHAnsi"/>
              <w:sz w:val="22"/>
              <w:szCs w:val="22"/>
            </w:rPr>
            <w:t>Bibliografia</w:t>
          </w:r>
          <w:r w:rsidR="0090305A">
            <w:rPr>
              <w:rFonts w:asciiTheme="minorHAnsi" w:hAnsiTheme="minorHAnsi"/>
              <w:sz w:val="22"/>
              <w:szCs w:val="22"/>
            </w:rPr>
            <w:t>……………………………………………………………………………………………………………………………………………….82</w:t>
          </w:r>
        </w:p>
        <w:p w:rsidR="00D77B0E" w:rsidRDefault="00D77B0E" w:rsidP="00D77B0E"/>
        <w:p w:rsidR="00D77B0E" w:rsidRDefault="00D77B0E" w:rsidP="00D77B0E"/>
        <w:p w:rsidR="002F1C54" w:rsidRPr="00D77B0E" w:rsidRDefault="003D5421" w:rsidP="00D77B0E"/>
      </w:sdtContent>
    </w:sdt>
    <w:p w:rsidR="002F1C54" w:rsidRDefault="002F1C54" w:rsidP="002F1C54">
      <w:pPr>
        <w:spacing w:line="360" w:lineRule="auto"/>
        <w:jc w:val="both"/>
        <w:rPr>
          <w:b/>
        </w:rPr>
      </w:pPr>
    </w:p>
    <w:p w:rsidR="002F1C54" w:rsidRDefault="002F1C54" w:rsidP="002F1C54">
      <w:pPr>
        <w:spacing w:line="360" w:lineRule="auto"/>
        <w:jc w:val="both"/>
        <w:rPr>
          <w:b/>
        </w:rPr>
      </w:pPr>
    </w:p>
    <w:p w:rsidR="002F1C54" w:rsidRDefault="0090305A" w:rsidP="002F1C54">
      <w:pPr>
        <w:pStyle w:val="Default"/>
        <w:rPr>
          <w:rFonts w:ascii="Times New Roman" w:hAnsi="Times New Roman" w:cs="Times New Roman"/>
          <w:b/>
          <w:bCs/>
          <w:sz w:val="28"/>
          <w:szCs w:val="28"/>
        </w:rPr>
      </w:pPr>
      <w:r>
        <w:rPr>
          <w:rFonts w:ascii="Times New Roman" w:hAnsi="Times New Roman" w:cs="Times New Roman"/>
          <w:b/>
          <w:bCs/>
          <w:sz w:val="28"/>
          <w:szCs w:val="28"/>
        </w:rPr>
        <w:t xml:space="preserve"> </w:t>
      </w:r>
    </w:p>
    <w:p w:rsidR="002F1C54" w:rsidRDefault="002F1C54" w:rsidP="002F1C54">
      <w:pPr>
        <w:pStyle w:val="Default"/>
        <w:rPr>
          <w:rFonts w:ascii="Times New Roman" w:hAnsi="Times New Roman" w:cs="Times New Roman"/>
          <w:b/>
          <w:bCs/>
          <w:sz w:val="28"/>
          <w:szCs w:val="28"/>
        </w:rPr>
      </w:pPr>
    </w:p>
    <w:p w:rsidR="002F1C54" w:rsidRDefault="002F1C54" w:rsidP="002F1C54">
      <w:pPr>
        <w:pStyle w:val="Default"/>
        <w:rPr>
          <w:rFonts w:ascii="Times New Roman" w:hAnsi="Times New Roman" w:cs="Times New Roman"/>
          <w:b/>
          <w:bCs/>
          <w:sz w:val="28"/>
          <w:szCs w:val="28"/>
        </w:rPr>
      </w:pPr>
    </w:p>
    <w:p w:rsidR="002F1C54" w:rsidRDefault="002F1C54" w:rsidP="002F1C54">
      <w:pPr>
        <w:pStyle w:val="Titolo1"/>
        <w:spacing w:before="0"/>
      </w:pPr>
      <w:bookmarkStart w:id="2" w:name="_Toc359506050"/>
      <w:r w:rsidRPr="00EE5F97">
        <w:lastRenderedPageBreak/>
        <w:t>Introduzione</w:t>
      </w:r>
      <w:bookmarkEnd w:id="2"/>
      <w:r w:rsidRPr="00EE5F97">
        <w:t xml:space="preserve"> </w:t>
      </w:r>
    </w:p>
    <w:p w:rsidR="002F1C54" w:rsidRPr="00EE5F97" w:rsidRDefault="002F1C54" w:rsidP="002F1C54">
      <w:pPr>
        <w:spacing w:line="360" w:lineRule="auto"/>
        <w:jc w:val="both"/>
        <w:rPr>
          <w:b/>
        </w:rPr>
      </w:pPr>
    </w:p>
    <w:p w:rsidR="002F1C54" w:rsidRDefault="002F1C54" w:rsidP="002F1C54">
      <w:pPr>
        <w:spacing w:line="360" w:lineRule="auto"/>
        <w:jc w:val="both"/>
      </w:pPr>
      <w:r>
        <w:t xml:space="preserve">Il tema relativo all’evasione fiscale ha assunto nel corso degli ultimi anni un ruolo sempre più importante all’interno delle tematiche trattate a livello politico e sulla carta stampata. Come mostrato dalla letteratura interessata ad analizzare il fenomeno, all’interno dei sistemi economici sempre più complessi e caratterizzati dalla presenza di norme atte a regolare il meccanismo delle transazioni tra individui, si assiste al tentativo di una quota significativa di soggetti di sfuggire a tali norme facendo ricorso ad un contesto economico “sommerso” all’interno del quale non è necessario dover sottostare agli oneri imposti per legge [CNEL 2009]. Il contrasto di tali azioni deve però essere deciso e costante in quanto i costi sociali di tale fenomeno risultano essere molto forti e soprattutto finiscono con l’interessare molteplici soggetti. </w:t>
      </w:r>
    </w:p>
    <w:p w:rsidR="002F1C54" w:rsidRDefault="002F1C54" w:rsidP="002F1C54">
      <w:pPr>
        <w:spacing w:line="360" w:lineRule="auto"/>
        <w:jc w:val="both"/>
      </w:pPr>
      <w:r>
        <w:t>Come sottolineato dalla letteratura [Galbiati e Zanardi 2001, Lucifora 2003, Monticelli 2005, CNEL 2009, Giovannini et al. 2011], le conseguenze di tale fenomeno sono molteplici. Sul lato del sistema economico, l’impresa che opera nel sommerso produce una distorsione dei prezzi (costo del lavoro compreso) generando una concorrenza sleale nei confronti delle altre aziende che operano rispettando le regole. In secondo luogo, aspetto molto importante in questa fase di crisi del sistema finanziario, le attività sommerse non possono finanziarsi facilmente attraverso il sistema del credito legale, riducendo la capacità di investire ed innovare. Tutto questo, quindi, genera un effetto negativo sullo sviluppo economico delle aree in cui sono localizzate.</w:t>
      </w:r>
    </w:p>
    <w:p w:rsidR="002F1C54" w:rsidRDefault="002F1C54" w:rsidP="002F1C54">
      <w:pPr>
        <w:spacing w:line="360" w:lineRule="auto"/>
        <w:jc w:val="both"/>
      </w:pPr>
      <w:r>
        <w:t>Sono presenti, inoltre, profondi effetti negativi anche per quanto concerne i lavoratori. L’assenza di un contratto regolare o il pagamento in nero di parte (se non totalmente) del salario generano una riduzione delle tutele del lavoratore, sia per quanto concerne la stabilità lavorativa, sia per la mancata progressione professionale e salariale. Inoltre, l’occultamento di parte del salario produce problematicità che si ripercuotono sia sul lavoratore al momento del pensionamento, in quanto i contributi versati risulteranno essere insufficienti per una pensione dignitosa, sia sulla stabilità macro-economica del Paese in quanto indeboliscono l’equilibrio fiscale e il livello di protezione sociale che può essere garantito.</w:t>
      </w:r>
    </w:p>
    <w:p w:rsidR="002F1C54" w:rsidRDefault="002F1C54" w:rsidP="002F1C54">
      <w:pPr>
        <w:spacing w:line="360" w:lineRule="auto"/>
        <w:jc w:val="both"/>
      </w:pPr>
      <w:r>
        <w:t xml:space="preserve">Se chiare sono le conseguenze derivanti dall’evasione fiscale, risulta essere maggiormente complicato definirne le cause. Se da un lato, il livello del prelievo fiscale, il grado di regolamentazione (burocratizzazione) dell’attività economica possono indurre gli imprenditori ad individuare strade alternative alla totale legalità, esistono però a livello mondiale realtà con livelli di prelievo fiscale simile o superiore al dato italiano e parallelamente livelli di economia sommersa molto più contenuti. In realtà, piuttosto che parlare di cause, sarebbe meglio parlare di fattori che possono favorirne la diffusione. In primo luogo, la domanda crescente di servizi personalizzati ad </w:t>
      </w:r>
      <w:r>
        <w:lastRenderedPageBreak/>
        <w:t>alta intensità di lavoro (come la pulizia della casa, la cura dei neonati e degli anziani) e la ristrutturazione del sistema economico con la diffusione del sub-appalto di parte del lavoro ad imprese di piccole o piccolissime dimensioni. A tale proposito tutti gli studi svolti (Pisani e Polito 2006, Marino e Zizza 2008, Giovannini et al. 2011) sottolineano come il lavoro sommerso e l’evasione fiscale si concentrino soprattutto nel settore agricolo, in quello edilizio, nel commercio al dettaglio e nei servizi domestici. Il motivo sarebbe da attribuire dalla maggiore presenza in questi settori di aziende dalla struttura poco complessa. Infatti, in organizzazioni complesse, nelle quali il bilancio è amministrato da più persone o da società esterne e gli utili sono divisi tra molteplici soci, è molto più difficile poter evadere, sia nel caso di possibili rigonfiamenti dei costi da parte di chi acquista da tali organizzazioni, sia nel caso di una sottovalutazione dei ricavi da parte dei fornitori (Vitaletti 2012). Inoltre, altri fattori sono stati associati alla diffusione dell’economia sommersa, collegati in modo particolare alla disponibilità di tempo come il tasso di disoccupazione, possibilità di accedere al pensionamento anticipato, riduzione dell’orario di lavoro settimanale e basso tasso di attività lavorativa femminile. L’obiettivo dello studio in questione consiste nella stima a livello locale dell’entità dell’evasione fiscale con l’intento di far prendere maggiore coscienza ai sindaci del potenziale bacino di risorse dal quale potrebbero attingere nel caso riuscissero a recuperare almeno parte delle somme evase.</w:t>
      </w: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pStyle w:val="Titolo1"/>
        <w:spacing w:before="0"/>
      </w:pPr>
      <w:bookmarkStart w:id="3" w:name="_Toc359506051"/>
      <w:r>
        <w:t>Il sistema imprenditoriale della Lombardia</w:t>
      </w:r>
      <w:bookmarkEnd w:id="3"/>
    </w:p>
    <w:p w:rsidR="002F1C54" w:rsidRPr="003E3BE4" w:rsidRDefault="002F1C54" w:rsidP="002F1C54">
      <w:pPr>
        <w:spacing w:line="360" w:lineRule="auto"/>
        <w:jc w:val="both"/>
      </w:pPr>
    </w:p>
    <w:p w:rsidR="002F1C54" w:rsidRDefault="002F1C54" w:rsidP="002F1C54">
      <w:pPr>
        <w:spacing w:line="360" w:lineRule="auto"/>
        <w:jc w:val="both"/>
      </w:pPr>
      <w:r>
        <w:t xml:space="preserve">Come sottolineato dalla letteratura, esistono diversi fattori che risultano essere strettamente correlati con il fenomeno dell’evasione. In modo particolare, come si vedrà meglio nelle sezioni successive, sono soprattutto il settore agricolo, quello delle costruzioni e il settore alberghiero e della ristorazione le aree nelle quali tende a concentrarsi la maggiore propensione ad evadere. Inoltre, forte predittore del rischio di evasione, come confermato anche dalle recenti indagini fondate sull’auditing fiscale [Corte dei Conti 2012], risulta essere il grado di diffusione del piccolo commercio (esercizi di vicinato) e delle piccole e piccolissime imprese nel territorio, caratterizzate da sistemi di rendicontazione e da una strutturazione organizzativa più informale. </w:t>
      </w:r>
    </w:p>
    <w:p w:rsidR="002F1C54" w:rsidRPr="007E1BA8" w:rsidRDefault="002F1C54" w:rsidP="002F1C54">
      <w:pPr>
        <w:spacing w:line="360" w:lineRule="auto"/>
        <w:jc w:val="both"/>
        <w:rPr>
          <w:rFonts w:ascii="Garamond" w:hAnsi="Garamond"/>
        </w:rPr>
      </w:pPr>
      <w:r>
        <w:t xml:space="preserve">Per quanto concerne la regione Lombardia é interessante notare come le variazioni siano molto contenute per quanto concerne la </w:t>
      </w:r>
      <w:r w:rsidRPr="007E1BA8">
        <w:t>presenza di piccolissime imprese, praticamente la totalit</w:t>
      </w:r>
      <w:r>
        <w:t>à</w:t>
      </w:r>
      <w:r w:rsidRPr="007E1BA8">
        <w:t xml:space="preserve"> delle aziende attive sul territorio, per quanto il dato sia lievemente inferiore alla media nazionale. Nel caso delle dimensioni aziendali il dato fornito non fa riferimento alle imprese attive (dato invece utilizzato nelle tabelle successive), ma al dato delle unit</w:t>
      </w:r>
      <w:r>
        <w:t>à</w:t>
      </w:r>
      <w:r w:rsidRPr="007E1BA8">
        <w:t xml:space="preserve"> locali. </w:t>
      </w:r>
      <w:r>
        <w:t>Si definisce</w:t>
      </w:r>
      <w:r w:rsidRPr="007E1BA8">
        <w:t xml:space="preserve"> unità locale l'impianto </w:t>
      </w:r>
      <w:r w:rsidRPr="007E1BA8">
        <w:lastRenderedPageBreak/>
        <w:t>operativo o amministrati</w:t>
      </w:r>
      <w:r>
        <w:t>vo-gestionale, in genere situato</w:t>
      </w:r>
      <w:r w:rsidRPr="007E1BA8">
        <w:t xml:space="preserve"> in luogo diverso da quello della sede, nel quale l'impresa esercita stabilmente una o più attività economiche, dotato di autonomia e di tutti gli strumenti necessari allo svolgimento di una finalità produttiva, o di una fase intermedia, quali ad esempio: laboratori, officine, stabilimenti, magazzini, depositi, uffici, nego</w:t>
      </w:r>
      <w:r>
        <w:t>zi, filiali, agenzie, etc. Proprio per questo fatto il dato deve essere preso con una certa cautela in quanto non solo tende a sovrastimare il numero di imprese presenti nel territorio, ma soprattutto a sovrastimare quelle di dimensioni più piccole date le funzioni svolte da queste realtà. In questo caso, però, essendo il nostro interesse focalizzato sulle differenze tra le province e non sul valore assoluto in sé, questo aspetto risulta essere secondario rispetto al focus della nostra indagine.</w:t>
      </w:r>
    </w:p>
    <w:p w:rsidR="002F1C54" w:rsidRPr="00E83596" w:rsidRDefault="002F1C54" w:rsidP="002F1C54">
      <w:pPr>
        <w:spacing w:line="360" w:lineRule="auto"/>
        <w:jc w:val="both"/>
      </w:pPr>
    </w:p>
    <w:tbl>
      <w:tblPr>
        <w:tblW w:w="8602" w:type="dxa"/>
        <w:jc w:val="center"/>
        <w:tblInd w:w="93" w:type="dxa"/>
        <w:tblLook w:val="04A0"/>
      </w:tblPr>
      <w:tblGrid>
        <w:gridCol w:w="1860"/>
        <w:gridCol w:w="1331"/>
        <w:gridCol w:w="1420"/>
        <w:gridCol w:w="1420"/>
        <w:gridCol w:w="1453"/>
        <w:gridCol w:w="1118"/>
      </w:tblGrid>
      <w:tr w:rsidR="002F1C54" w:rsidRPr="00E83596" w:rsidTr="00D73F13">
        <w:trPr>
          <w:trHeight w:val="270"/>
          <w:jc w:val="center"/>
        </w:trPr>
        <w:tc>
          <w:tcPr>
            <w:tcW w:w="8602" w:type="dxa"/>
            <w:gridSpan w:val="6"/>
            <w:tcBorders>
              <w:top w:val="nil"/>
              <w:left w:val="nil"/>
              <w:bottom w:val="single" w:sz="8" w:space="0" w:color="auto"/>
              <w:right w:val="nil"/>
            </w:tcBorders>
            <w:shd w:val="clear" w:color="auto" w:fill="auto"/>
            <w:noWrap/>
            <w:vAlign w:val="bottom"/>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eastAsia="en-US"/>
              </w:rPr>
              <w:t xml:space="preserve">Unità locali per classe di addetti. Italia, Lombardia e province lombarde. </w:t>
            </w:r>
            <w:r w:rsidRPr="00E83596">
              <w:rPr>
                <w:rFonts w:ascii="Garamond" w:hAnsi="Garamond"/>
                <w:b/>
                <w:bCs/>
                <w:sz w:val="20"/>
                <w:szCs w:val="20"/>
                <w:lang w:val="en-US" w:eastAsia="en-US"/>
              </w:rPr>
              <w:t>Anno 2010</w:t>
            </w:r>
          </w:p>
        </w:tc>
      </w:tr>
      <w:tr w:rsidR="002F1C54" w:rsidRPr="00E83596" w:rsidTr="00D73F13">
        <w:trPr>
          <w:trHeight w:val="60"/>
          <w:jc w:val="center"/>
        </w:trPr>
        <w:tc>
          <w:tcPr>
            <w:tcW w:w="1860" w:type="dxa"/>
            <w:tcBorders>
              <w:top w:val="nil"/>
              <w:left w:val="nil"/>
              <w:bottom w:val="single" w:sz="8" w:space="0" w:color="000000"/>
              <w:right w:val="nil"/>
            </w:tcBorders>
            <w:shd w:val="clear" w:color="auto" w:fill="auto"/>
            <w:vAlign w:val="center"/>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 </w:t>
            </w:r>
          </w:p>
        </w:tc>
        <w:tc>
          <w:tcPr>
            <w:tcW w:w="1331"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20/49 addetti</w:t>
            </w:r>
          </w:p>
        </w:tc>
        <w:tc>
          <w:tcPr>
            <w:tcW w:w="1453"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50 addetti +</w:t>
            </w:r>
          </w:p>
        </w:tc>
        <w:tc>
          <w:tcPr>
            <w:tcW w:w="1118" w:type="dxa"/>
            <w:tcBorders>
              <w:top w:val="nil"/>
              <w:left w:val="nil"/>
              <w:bottom w:val="single" w:sz="8" w:space="0" w:color="000000"/>
              <w:right w:val="nil"/>
            </w:tcBorders>
            <w:shd w:val="clear" w:color="auto" w:fill="auto"/>
            <w:vAlign w:val="center"/>
            <w:hideMark/>
          </w:tcPr>
          <w:p w:rsidR="002F1C54" w:rsidRPr="00E83596" w:rsidRDefault="002F1C54" w:rsidP="00D73F13">
            <w:pPr>
              <w:jc w:val="center"/>
              <w:rPr>
                <w:rFonts w:ascii="Garamond" w:hAnsi="Garamond"/>
                <w:b/>
                <w:bCs/>
                <w:sz w:val="20"/>
                <w:szCs w:val="20"/>
                <w:lang w:val="en-US" w:eastAsia="en-US"/>
              </w:rPr>
            </w:pPr>
            <w:r w:rsidRPr="00E83596">
              <w:rPr>
                <w:rFonts w:ascii="Garamond" w:hAnsi="Garamond"/>
                <w:b/>
                <w:bCs/>
                <w:sz w:val="20"/>
                <w:szCs w:val="20"/>
                <w:lang w:val="en-US" w:eastAsia="en-US"/>
              </w:rPr>
              <w:t>Totale</w:t>
            </w:r>
          </w:p>
        </w:tc>
      </w:tr>
      <w:tr w:rsidR="002F1C54" w:rsidRPr="00E83596" w:rsidTr="00D73F13">
        <w:trPr>
          <w:trHeight w:val="6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Varese</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68,252</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2,775</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1,228</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544</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72,799</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Como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47,528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1,960</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835</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368</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50,691</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Sondrio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14,244</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639</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229</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77</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15,189</w:t>
            </w:r>
          </w:p>
        </w:tc>
      </w:tr>
      <w:tr w:rsidR="002F1C54" w:rsidRPr="00E83596" w:rsidTr="00D73F13">
        <w:trPr>
          <w:trHeight w:val="86"/>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Milano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303,937</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11,538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5,769</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3,412</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324,656</w:t>
            </w:r>
          </w:p>
        </w:tc>
      </w:tr>
      <w:tr w:rsidR="002F1C54" w:rsidRPr="00E83596" w:rsidTr="00D73F13">
        <w:trPr>
          <w:trHeight w:val="95"/>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Bergamo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88,029</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4,007</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1,798</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857</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94,691</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Brescia</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105,811</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4,778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2,147</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852</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113,588</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Pavia</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40,581</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1,304</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559</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243</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42,687</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Cremona</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26,126</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998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426</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206</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27,756</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Mantova</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32,808</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1,294</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601</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277</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34,980</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Lecco</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26,379</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1,211</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536</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266</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28,392</w:t>
            </w:r>
          </w:p>
        </w:tc>
      </w:tr>
      <w:tr w:rsidR="002F1C54" w:rsidRPr="00E83596" w:rsidTr="00D73F13">
        <w:trPr>
          <w:trHeight w:val="80"/>
          <w:jc w:val="center"/>
        </w:trPr>
        <w:tc>
          <w:tcPr>
            <w:tcW w:w="1860" w:type="dxa"/>
            <w:tcBorders>
              <w:top w:val="nil"/>
              <w:left w:val="nil"/>
              <w:bottom w:val="nil"/>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Lodi</w:t>
            </w:r>
          </w:p>
        </w:tc>
        <w:tc>
          <w:tcPr>
            <w:tcW w:w="1331"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15,092</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547</w:t>
            </w:r>
          </w:p>
        </w:tc>
        <w:tc>
          <w:tcPr>
            <w:tcW w:w="1420"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220</w:t>
            </w:r>
          </w:p>
        </w:tc>
        <w:tc>
          <w:tcPr>
            <w:tcW w:w="1453"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153</w:t>
            </w:r>
          </w:p>
        </w:tc>
        <w:tc>
          <w:tcPr>
            <w:tcW w:w="1118" w:type="dxa"/>
            <w:tcBorders>
              <w:top w:val="nil"/>
              <w:left w:val="nil"/>
              <w:bottom w:val="nil"/>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16,012</w:t>
            </w:r>
          </w:p>
        </w:tc>
      </w:tr>
      <w:tr w:rsidR="002F1C54" w:rsidRPr="00E83596" w:rsidTr="00D73F13">
        <w:trPr>
          <w:trHeight w:val="80"/>
          <w:jc w:val="center"/>
        </w:trPr>
        <w:tc>
          <w:tcPr>
            <w:tcW w:w="1860" w:type="dxa"/>
            <w:tcBorders>
              <w:top w:val="nil"/>
              <w:left w:val="nil"/>
              <w:bottom w:val="single" w:sz="8" w:space="0" w:color="auto"/>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Monza e Brianza</w:t>
            </w:r>
          </w:p>
        </w:tc>
        <w:tc>
          <w:tcPr>
            <w:tcW w:w="1331"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69,553</w:t>
            </w:r>
          </w:p>
        </w:tc>
        <w:tc>
          <w:tcPr>
            <w:tcW w:w="1420"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2,712</w:t>
            </w:r>
          </w:p>
        </w:tc>
        <w:tc>
          <w:tcPr>
            <w:tcW w:w="1420"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1,179</w:t>
            </w:r>
          </w:p>
        </w:tc>
        <w:tc>
          <w:tcPr>
            <w:tcW w:w="1453"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531</w:t>
            </w:r>
          </w:p>
        </w:tc>
        <w:tc>
          <w:tcPr>
            <w:tcW w:w="1118"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73,975</w:t>
            </w:r>
          </w:p>
        </w:tc>
      </w:tr>
      <w:tr w:rsidR="002F1C54" w:rsidRPr="00E83596" w:rsidTr="00D73F13">
        <w:trPr>
          <w:trHeight w:val="60"/>
          <w:jc w:val="center"/>
        </w:trPr>
        <w:tc>
          <w:tcPr>
            <w:tcW w:w="1860" w:type="dxa"/>
            <w:tcBorders>
              <w:top w:val="nil"/>
              <w:left w:val="nil"/>
              <w:bottom w:val="single" w:sz="8" w:space="0" w:color="auto"/>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Lombardia</w:t>
            </w:r>
          </w:p>
        </w:tc>
        <w:tc>
          <w:tcPr>
            <w:tcW w:w="1331"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838,340</w:t>
            </w:r>
          </w:p>
        </w:tc>
        <w:tc>
          <w:tcPr>
            <w:tcW w:w="1420"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33,763</w:t>
            </w:r>
          </w:p>
        </w:tc>
        <w:tc>
          <w:tcPr>
            <w:tcW w:w="1420"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15,527</w:t>
            </w:r>
          </w:p>
        </w:tc>
        <w:tc>
          <w:tcPr>
            <w:tcW w:w="1453"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7,786</w:t>
            </w:r>
          </w:p>
        </w:tc>
        <w:tc>
          <w:tcPr>
            <w:tcW w:w="1118" w:type="dxa"/>
            <w:tcBorders>
              <w:top w:val="nil"/>
              <w:left w:val="nil"/>
              <w:bottom w:val="single" w:sz="8" w:space="0" w:color="auto"/>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895,416</w:t>
            </w:r>
          </w:p>
        </w:tc>
      </w:tr>
      <w:tr w:rsidR="002F1C54" w:rsidRPr="00E83596" w:rsidTr="00D73F13">
        <w:trPr>
          <w:trHeight w:val="60"/>
          <w:jc w:val="center"/>
        </w:trPr>
        <w:tc>
          <w:tcPr>
            <w:tcW w:w="1860" w:type="dxa"/>
            <w:tcBorders>
              <w:top w:val="nil"/>
              <w:left w:val="nil"/>
              <w:bottom w:val="single" w:sz="8" w:space="0" w:color="000000"/>
              <w:right w:val="nil"/>
            </w:tcBorders>
            <w:shd w:val="clear" w:color="auto" w:fill="auto"/>
            <w:hideMark/>
          </w:tcPr>
          <w:p w:rsidR="002F1C54" w:rsidRPr="00E83596" w:rsidRDefault="002F1C54" w:rsidP="00D73F13">
            <w:pPr>
              <w:rPr>
                <w:rFonts w:ascii="Garamond" w:hAnsi="Garamond"/>
                <w:b/>
                <w:bCs/>
                <w:sz w:val="20"/>
                <w:szCs w:val="20"/>
                <w:lang w:val="en-US" w:eastAsia="en-US"/>
              </w:rPr>
            </w:pPr>
            <w:r w:rsidRPr="00E83596">
              <w:rPr>
                <w:rFonts w:ascii="Garamond" w:hAnsi="Garamond"/>
                <w:b/>
                <w:bCs/>
                <w:sz w:val="20"/>
                <w:szCs w:val="20"/>
                <w:lang w:val="en-US" w:eastAsia="en-US"/>
              </w:rPr>
              <w:t>Italia</w:t>
            </w:r>
          </w:p>
        </w:tc>
        <w:tc>
          <w:tcPr>
            <w:tcW w:w="1331"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4,566,763</w:t>
            </w:r>
          </w:p>
        </w:tc>
        <w:tc>
          <w:tcPr>
            <w:tcW w:w="1420"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162,594</w:t>
            </w:r>
          </w:p>
        </w:tc>
        <w:tc>
          <w:tcPr>
            <w:tcW w:w="1420"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69,137</w:t>
            </w:r>
          </w:p>
        </w:tc>
        <w:tc>
          <w:tcPr>
            <w:tcW w:w="1453"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30,192</w:t>
            </w:r>
          </w:p>
        </w:tc>
        <w:tc>
          <w:tcPr>
            <w:tcW w:w="1118" w:type="dxa"/>
            <w:tcBorders>
              <w:top w:val="nil"/>
              <w:left w:val="nil"/>
              <w:bottom w:val="single" w:sz="8" w:space="0" w:color="000000"/>
              <w:right w:val="nil"/>
            </w:tcBorders>
            <w:shd w:val="clear" w:color="auto" w:fill="auto"/>
            <w:hideMark/>
          </w:tcPr>
          <w:p w:rsidR="002F1C54" w:rsidRPr="00E83596" w:rsidRDefault="002F1C54" w:rsidP="00D73F13">
            <w:pPr>
              <w:jc w:val="center"/>
              <w:rPr>
                <w:rFonts w:ascii="Garamond" w:hAnsi="Garamond"/>
                <w:sz w:val="20"/>
                <w:szCs w:val="20"/>
                <w:lang w:val="en-US" w:eastAsia="en-US"/>
              </w:rPr>
            </w:pPr>
            <w:r w:rsidRPr="00E83596">
              <w:rPr>
                <w:rFonts w:ascii="Garamond" w:hAnsi="Garamond"/>
                <w:sz w:val="20"/>
                <w:szCs w:val="20"/>
                <w:lang w:val="en-US" w:eastAsia="en-US"/>
              </w:rPr>
              <w:t>4,828,686</w:t>
            </w:r>
          </w:p>
        </w:tc>
      </w:tr>
    </w:tbl>
    <w:p w:rsidR="002F1C54" w:rsidRPr="004D28D2" w:rsidRDefault="002F1C54" w:rsidP="002F1C54">
      <w:pPr>
        <w:spacing w:line="360" w:lineRule="auto"/>
        <w:jc w:val="both"/>
        <w:rPr>
          <w:rFonts w:ascii="Garamond" w:hAnsi="Garamond"/>
          <w:b/>
          <w:sz w:val="18"/>
          <w:szCs w:val="18"/>
        </w:rPr>
      </w:pPr>
      <w:r w:rsidRPr="00E83596">
        <w:rPr>
          <w:b/>
        </w:rPr>
        <w:t xml:space="preserve">          </w:t>
      </w:r>
      <w:r w:rsidRPr="004D28D2">
        <w:rPr>
          <w:rFonts w:ascii="Garamond" w:hAnsi="Garamond"/>
          <w:b/>
          <w:sz w:val="18"/>
          <w:szCs w:val="18"/>
        </w:rPr>
        <w:t>Fonte: ASR Lombardia</w:t>
      </w:r>
    </w:p>
    <w:p w:rsidR="002F1C54" w:rsidRPr="004D28D2" w:rsidRDefault="002F1C54" w:rsidP="002F1C54">
      <w:pPr>
        <w:spacing w:line="360" w:lineRule="auto"/>
        <w:jc w:val="both"/>
      </w:pPr>
    </w:p>
    <w:p w:rsidR="002F1C54" w:rsidRDefault="002F1C54" w:rsidP="002F1C54">
      <w:pPr>
        <w:spacing w:line="360" w:lineRule="auto"/>
        <w:jc w:val="both"/>
      </w:pPr>
      <w:r w:rsidRPr="004D28D2">
        <w:t>Come s</w:t>
      </w:r>
      <w:r>
        <w:t>i può osservare meglio dalla tabella sottostante, il dato medio regionale registra la presenza di imprese di piccolissime dimensioni pari al 93,6% delle unità locali presenti sul territorio. In generale, però, é interessante osservare come a livello provinciale il dato sia molto simile oscillando tra il 92,9% all’interno della provincia di Lecco e il 94,3% presso Lodi, anche se ben 4 province (Varese, Como, Sondrio e Mantova) mostrano il medesimo valore pari a 98,3%. Sul lato opposto, sono le province di Milano e Lodi a presentare la maggiore diffusione di unità locali occupanti più di 50 addetti sul proprio territorio per un valore pari rispettivamente a 1,1% e 1%. In ogni caso, almeno per quanto concerne l’obiettivo del nostro studio, la presenza di piccolissime imprese non potrà essere usato come indicatore utile del livello di evasione locale data la pressoché identica distribuzione nei vari territori.</w:t>
      </w:r>
    </w:p>
    <w:p w:rsidR="002F1C54" w:rsidRDefault="002F1C54" w:rsidP="002F1C54">
      <w:pPr>
        <w:spacing w:line="360" w:lineRule="auto"/>
        <w:jc w:val="both"/>
      </w:pPr>
    </w:p>
    <w:p w:rsidR="002F1C54" w:rsidRDefault="002F1C54" w:rsidP="002F1C54">
      <w:pPr>
        <w:spacing w:line="360" w:lineRule="auto"/>
        <w:jc w:val="both"/>
      </w:pPr>
    </w:p>
    <w:p w:rsidR="002F1C54" w:rsidRPr="004D28D2" w:rsidRDefault="002F1C54" w:rsidP="002F1C54">
      <w:pPr>
        <w:spacing w:line="360" w:lineRule="auto"/>
        <w:jc w:val="both"/>
      </w:pPr>
    </w:p>
    <w:tbl>
      <w:tblPr>
        <w:tblW w:w="8640" w:type="dxa"/>
        <w:jc w:val="center"/>
        <w:tblInd w:w="93" w:type="dxa"/>
        <w:tblLook w:val="04A0"/>
      </w:tblPr>
      <w:tblGrid>
        <w:gridCol w:w="1860"/>
        <w:gridCol w:w="1240"/>
        <w:gridCol w:w="1420"/>
        <w:gridCol w:w="1420"/>
        <w:gridCol w:w="1360"/>
        <w:gridCol w:w="1340"/>
      </w:tblGrid>
      <w:tr w:rsidR="002F1C54" w:rsidRPr="004D28D2" w:rsidTr="00D73F13">
        <w:trPr>
          <w:trHeight w:val="185"/>
          <w:jc w:val="center"/>
        </w:trPr>
        <w:tc>
          <w:tcPr>
            <w:tcW w:w="8640" w:type="dxa"/>
            <w:gridSpan w:val="6"/>
            <w:tcBorders>
              <w:top w:val="nil"/>
              <w:left w:val="nil"/>
              <w:bottom w:val="single" w:sz="8" w:space="0" w:color="auto"/>
              <w:right w:val="nil"/>
            </w:tcBorders>
            <w:shd w:val="clear" w:color="auto" w:fill="auto"/>
            <w:noWrap/>
            <w:vAlign w:val="bottom"/>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eastAsia="en-US"/>
              </w:rPr>
              <w:lastRenderedPageBreak/>
              <w:t xml:space="preserve">Percentuale unità locali per classe di addetti. Italia, Lombardia e province lombarde. </w:t>
            </w:r>
            <w:r w:rsidRPr="004D28D2">
              <w:rPr>
                <w:rFonts w:ascii="Garamond" w:hAnsi="Garamond" w:cs="Arial"/>
                <w:b/>
                <w:bCs/>
                <w:sz w:val="20"/>
                <w:szCs w:val="20"/>
                <w:lang w:val="en-US" w:eastAsia="en-US"/>
              </w:rPr>
              <w:t>Anno 2010</w:t>
            </w:r>
          </w:p>
        </w:tc>
      </w:tr>
      <w:tr w:rsidR="002F1C54" w:rsidRPr="004D28D2" w:rsidTr="00D73F13">
        <w:trPr>
          <w:trHeight w:val="60"/>
          <w:jc w:val="center"/>
        </w:trPr>
        <w:tc>
          <w:tcPr>
            <w:tcW w:w="1860" w:type="dxa"/>
            <w:tcBorders>
              <w:top w:val="nil"/>
              <w:left w:val="nil"/>
              <w:bottom w:val="single" w:sz="8" w:space="0" w:color="000000"/>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 </w:t>
            </w:r>
          </w:p>
        </w:tc>
        <w:tc>
          <w:tcPr>
            <w:tcW w:w="124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20/49 addetti</w:t>
            </w:r>
          </w:p>
        </w:tc>
        <w:tc>
          <w:tcPr>
            <w:tcW w:w="136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50 addetti +</w:t>
            </w:r>
          </w:p>
        </w:tc>
        <w:tc>
          <w:tcPr>
            <w:tcW w:w="1340" w:type="dxa"/>
            <w:tcBorders>
              <w:top w:val="nil"/>
              <w:left w:val="nil"/>
              <w:bottom w:val="single" w:sz="8" w:space="0" w:color="000000"/>
              <w:right w:val="nil"/>
            </w:tcBorders>
            <w:shd w:val="clear" w:color="auto" w:fill="auto"/>
            <w:vAlign w:val="center"/>
            <w:hideMark/>
          </w:tcPr>
          <w:p w:rsidR="002F1C54" w:rsidRPr="004D28D2" w:rsidRDefault="002F1C54" w:rsidP="00D73F13">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Totale</w:t>
            </w:r>
          </w:p>
        </w:tc>
      </w:tr>
      <w:tr w:rsidR="002F1C54" w:rsidRPr="004D28D2" w:rsidTr="00D73F13">
        <w:trPr>
          <w:trHeight w:val="6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3.9</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1.6</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0.5</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93.6</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1.8</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1.1</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93.0</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93.2</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95.1</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3.1</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1.3</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0.6</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94.1</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3.7</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95"/>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92.9</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4.3</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nil"/>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94.3</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3.4</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1.4</w:t>
            </w:r>
          </w:p>
        </w:tc>
        <w:tc>
          <w:tcPr>
            <w:tcW w:w="136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w:t>
            </w:r>
          </w:p>
        </w:tc>
        <w:tc>
          <w:tcPr>
            <w:tcW w:w="1340" w:type="dxa"/>
            <w:tcBorders>
              <w:top w:val="nil"/>
              <w:left w:val="nil"/>
              <w:bottom w:val="nil"/>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80"/>
          <w:jc w:val="center"/>
        </w:trPr>
        <w:tc>
          <w:tcPr>
            <w:tcW w:w="1860" w:type="dxa"/>
            <w:tcBorders>
              <w:top w:val="nil"/>
              <w:left w:val="nil"/>
              <w:bottom w:val="single" w:sz="8" w:space="0" w:color="auto"/>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94.0</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3.7</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1.6</w:t>
            </w:r>
          </w:p>
        </w:tc>
        <w:tc>
          <w:tcPr>
            <w:tcW w:w="136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60"/>
          <w:jc w:val="center"/>
        </w:trPr>
        <w:tc>
          <w:tcPr>
            <w:tcW w:w="1860" w:type="dxa"/>
            <w:tcBorders>
              <w:top w:val="nil"/>
              <w:left w:val="nil"/>
              <w:bottom w:val="single" w:sz="8" w:space="0" w:color="auto"/>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93.6</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3.8</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60"/>
          <w:jc w:val="center"/>
        </w:trPr>
        <w:tc>
          <w:tcPr>
            <w:tcW w:w="1860" w:type="dxa"/>
            <w:tcBorders>
              <w:top w:val="nil"/>
              <w:left w:val="nil"/>
              <w:bottom w:val="single" w:sz="8" w:space="0" w:color="000000"/>
              <w:right w:val="nil"/>
            </w:tcBorders>
            <w:shd w:val="clear" w:color="auto" w:fill="auto"/>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94.6</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3.4</w:t>
            </w:r>
          </w:p>
        </w:tc>
        <w:tc>
          <w:tcPr>
            <w:tcW w:w="142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1.4</w:t>
            </w:r>
          </w:p>
        </w:tc>
        <w:tc>
          <w:tcPr>
            <w:tcW w:w="136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0.6</w:t>
            </w:r>
          </w:p>
        </w:tc>
        <w:tc>
          <w:tcPr>
            <w:tcW w:w="1340" w:type="dxa"/>
            <w:tcBorders>
              <w:top w:val="nil"/>
              <w:left w:val="nil"/>
              <w:bottom w:val="single" w:sz="8" w:space="0" w:color="auto"/>
              <w:right w:val="nil"/>
            </w:tcBorders>
            <w:shd w:val="clear" w:color="auto" w:fill="auto"/>
            <w:noWrap/>
            <w:vAlign w:val="bottom"/>
            <w:hideMark/>
          </w:tcPr>
          <w:p w:rsidR="002F1C54" w:rsidRPr="004D28D2" w:rsidRDefault="002F1C54" w:rsidP="00D73F13">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2F1C54" w:rsidRPr="004D28D2" w:rsidTr="00D73F13">
        <w:trPr>
          <w:trHeight w:val="60"/>
          <w:jc w:val="center"/>
        </w:trPr>
        <w:tc>
          <w:tcPr>
            <w:tcW w:w="310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34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r>
        <w:t xml:space="preserve">La tabella sottostante, invece, mostra il dato riferito al numero di imprese attive sul territorio e il numero di addetti autonomi e alle dipendenze che vi lavorano. Per avere un quadro comparativo con riferimento alle dimensioni medie delle imprese all’interno di una provincia, abbiamo calcolato il numero medio di lavoratori dipendenti per impresa. Come si può osservare, il dato medio relativo alla regione Lombardia risulta essere sensibilmente superiore al dato medio nazionale, confermando la letteratura data la compresenza sia di imprese di dimensioni superiori (per quanto questo dipenda dalla provincia di Milano) sia, come vedremo nella sezione dedicata alle stime dell’evasione calcolata attraverso l’Irap, di un basso rischio di evasione rispetto alle altre regioni italiane. Esistono però forti differenze territoriali per quanto concerne questo fattore. Come si può osservare dalla quinta colonna della tabella sottostante il dato a livello provinciale oscilla tra l’1,9 addetti per impresa all’interno della provincia di Lodi e i 4,9 addetti presso Milano. In termini comparati, ponendo 100 il dato medio regionale, é possibile osservare come sia la provincia di Milano a fare la </w:t>
      </w:r>
    </w:p>
    <w:p w:rsidR="002F1C54" w:rsidRPr="00327FDA" w:rsidRDefault="002F1C54" w:rsidP="002F1C54">
      <w:pPr>
        <w:spacing w:line="360" w:lineRule="auto"/>
        <w:jc w:val="both"/>
      </w:pPr>
    </w:p>
    <w:tbl>
      <w:tblPr>
        <w:tblW w:w="9276" w:type="dxa"/>
        <w:jc w:val="center"/>
        <w:tblInd w:w="93" w:type="dxa"/>
        <w:tblLook w:val="04A0"/>
      </w:tblPr>
      <w:tblGrid>
        <w:gridCol w:w="1725"/>
        <w:gridCol w:w="1167"/>
        <w:gridCol w:w="1321"/>
        <w:gridCol w:w="127"/>
        <w:gridCol w:w="1050"/>
        <w:gridCol w:w="127"/>
        <w:gridCol w:w="1040"/>
        <w:gridCol w:w="127"/>
        <w:gridCol w:w="1161"/>
        <w:gridCol w:w="270"/>
        <w:gridCol w:w="1161"/>
      </w:tblGrid>
      <w:tr w:rsidR="002F1C54" w:rsidRPr="00716BEE" w:rsidTr="00D73F13">
        <w:trPr>
          <w:trHeight w:val="270"/>
          <w:jc w:val="center"/>
        </w:trPr>
        <w:tc>
          <w:tcPr>
            <w:tcW w:w="8115" w:type="dxa"/>
            <w:gridSpan w:val="10"/>
            <w:tcBorders>
              <w:top w:val="nil"/>
              <w:left w:val="nil"/>
              <w:bottom w:val="single" w:sz="4" w:space="0" w:color="auto"/>
              <w:right w:val="nil"/>
            </w:tcBorders>
            <w:shd w:val="clear" w:color="auto" w:fill="auto"/>
            <w:noWrap/>
            <w:vAlign w:val="bottom"/>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eastAsia="en-US"/>
              </w:rPr>
              <w:t xml:space="preserve">Imprese attive e addetti. Italia, Lombardia e province lombarde. </w:t>
            </w:r>
            <w:r w:rsidRPr="00716BEE">
              <w:rPr>
                <w:rFonts w:ascii="Garamond" w:hAnsi="Garamond" w:cs="Arial"/>
                <w:b/>
                <w:bCs/>
                <w:sz w:val="20"/>
                <w:szCs w:val="20"/>
                <w:lang w:val="en-US" w:eastAsia="en-US"/>
              </w:rPr>
              <w:t>Anno 2010</w:t>
            </w:r>
          </w:p>
        </w:tc>
        <w:tc>
          <w:tcPr>
            <w:tcW w:w="1161" w:type="dxa"/>
            <w:tcBorders>
              <w:top w:val="nil"/>
              <w:left w:val="nil"/>
              <w:bottom w:val="single" w:sz="4"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 </w:t>
            </w:r>
          </w:p>
        </w:tc>
      </w:tr>
      <w:tr w:rsidR="002F1C54" w:rsidRPr="00716BEE" w:rsidTr="00D73F13">
        <w:trPr>
          <w:trHeight w:val="70"/>
          <w:jc w:val="center"/>
        </w:trPr>
        <w:tc>
          <w:tcPr>
            <w:tcW w:w="1725" w:type="dxa"/>
            <w:tcBorders>
              <w:top w:val="single" w:sz="4" w:space="0" w:color="auto"/>
              <w:left w:val="nil"/>
              <w:bottom w:val="nil"/>
              <w:right w:val="nil"/>
            </w:tcBorders>
            <w:shd w:val="clear" w:color="auto" w:fill="auto"/>
            <w:hideMark/>
          </w:tcPr>
          <w:p w:rsidR="002F1C54" w:rsidRPr="00716BEE" w:rsidRDefault="002F1C54" w:rsidP="00D73F13">
            <w:pPr>
              <w:ind w:firstLineChars="100" w:firstLine="201"/>
              <w:rPr>
                <w:rFonts w:ascii="Garamond" w:hAnsi="Garamond" w:cs="Arial"/>
                <w:b/>
                <w:bCs/>
                <w:sz w:val="20"/>
                <w:szCs w:val="20"/>
                <w:lang w:val="en-US" w:eastAsia="en-US"/>
              </w:rPr>
            </w:pPr>
            <w:r w:rsidRPr="00716BEE">
              <w:rPr>
                <w:rFonts w:ascii="Garamond" w:hAnsi="Garamond" w:cs="Arial"/>
                <w:b/>
                <w:bCs/>
                <w:sz w:val="20"/>
                <w:szCs w:val="20"/>
                <w:lang w:val="en-US" w:eastAsia="en-US"/>
              </w:rPr>
              <w:t> </w:t>
            </w:r>
          </w:p>
        </w:tc>
        <w:tc>
          <w:tcPr>
            <w:tcW w:w="1167" w:type="dxa"/>
            <w:tcBorders>
              <w:top w:val="single" w:sz="4" w:space="0" w:color="auto"/>
              <w:left w:val="nil"/>
              <w:bottom w:val="nil"/>
              <w:right w:val="nil"/>
            </w:tcBorders>
            <w:shd w:val="clear" w:color="auto" w:fill="auto"/>
            <w:noWrap/>
            <w:vAlign w:val="bottom"/>
            <w:hideMark/>
          </w:tcPr>
          <w:p w:rsidR="002F1C54" w:rsidRPr="00716BEE" w:rsidRDefault="002F1C54" w:rsidP="00D73F13">
            <w:pPr>
              <w:rPr>
                <w:rFonts w:ascii="Garamond" w:hAnsi="Garamond" w:cs="Arial"/>
                <w:b/>
                <w:bCs/>
                <w:sz w:val="20"/>
                <w:szCs w:val="20"/>
                <w:lang w:val="en-US" w:eastAsia="en-US"/>
              </w:rPr>
            </w:pPr>
          </w:p>
        </w:tc>
        <w:tc>
          <w:tcPr>
            <w:tcW w:w="3665" w:type="dxa"/>
            <w:gridSpan w:val="5"/>
            <w:tcBorders>
              <w:top w:val="single" w:sz="4" w:space="0" w:color="auto"/>
              <w:left w:val="nil"/>
              <w:bottom w:val="single" w:sz="8" w:space="0" w:color="000000"/>
              <w:right w:val="nil"/>
            </w:tcBorders>
            <w:shd w:val="clear" w:color="auto" w:fill="auto"/>
            <w:hideMark/>
          </w:tcPr>
          <w:p w:rsidR="002F1C54" w:rsidRPr="00716BEE" w:rsidRDefault="002F1C54" w:rsidP="00D73F13">
            <w:pPr>
              <w:ind w:firstLineChars="100" w:firstLine="201"/>
              <w:jc w:val="center"/>
              <w:rPr>
                <w:rFonts w:ascii="Garamond" w:hAnsi="Garamond" w:cs="Arial"/>
                <w:b/>
                <w:bCs/>
                <w:sz w:val="20"/>
                <w:szCs w:val="20"/>
                <w:lang w:val="en-US" w:eastAsia="en-US"/>
              </w:rPr>
            </w:pPr>
            <w:r w:rsidRPr="00716BEE">
              <w:rPr>
                <w:rFonts w:ascii="Garamond" w:hAnsi="Garamond" w:cs="Arial"/>
                <w:b/>
                <w:bCs/>
                <w:sz w:val="20"/>
                <w:szCs w:val="20"/>
                <w:lang w:val="en-US" w:eastAsia="en-US"/>
              </w:rPr>
              <w:t> Addetti</w:t>
            </w:r>
          </w:p>
        </w:tc>
        <w:tc>
          <w:tcPr>
            <w:tcW w:w="1288" w:type="dxa"/>
            <w:gridSpan w:val="2"/>
            <w:tcBorders>
              <w:top w:val="single" w:sz="4" w:space="0" w:color="auto"/>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Dipendenti</w:t>
            </w:r>
          </w:p>
        </w:tc>
        <w:tc>
          <w:tcPr>
            <w:tcW w:w="1431" w:type="dxa"/>
            <w:gridSpan w:val="2"/>
            <w:tcBorders>
              <w:top w:val="single" w:sz="4" w:space="0" w:color="auto"/>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Serie</w:t>
            </w:r>
          </w:p>
        </w:tc>
      </w:tr>
      <w:tr w:rsidR="002F1C54" w:rsidRPr="00716BEE" w:rsidTr="00D73F13">
        <w:trPr>
          <w:trHeight w:val="60"/>
          <w:jc w:val="center"/>
        </w:trPr>
        <w:tc>
          <w:tcPr>
            <w:tcW w:w="1725" w:type="dxa"/>
            <w:tcBorders>
              <w:top w:val="nil"/>
              <w:left w:val="nil"/>
              <w:bottom w:val="single" w:sz="8" w:space="0" w:color="000000"/>
              <w:right w:val="nil"/>
            </w:tcBorders>
            <w:shd w:val="clear" w:color="auto" w:fill="auto"/>
            <w:hideMark/>
          </w:tcPr>
          <w:p w:rsidR="002F1C54" w:rsidRPr="00716BEE" w:rsidRDefault="002F1C54" w:rsidP="00D73F13">
            <w:pPr>
              <w:ind w:firstLineChars="100" w:firstLine="201"/>
              <w:jc w:val="center"/>
              <w:rPr>
                <w:rFonts w:ascii="Garamond" w:hAnsi="Garamond" w:cs="Arial"/>
                <w:b/>
                <w:bCs/>
                <w:sz w:val="20"/>
                <w:szCs w:val="20"/>
                <w:lang w:val="en-US" w:eastAsia="en-US"/>
              </w:rPr>
            </w:pPr>
            <w:r w:rsidRPr="00716BEE">
              <w:rPr>
                <w:rFonts w:ascii="Garamond" w:hAnsi="Garamond" w:cs="Arial"/>
                <w:b/>
                <w:bCs/>
                <w:sz w:val="20"/>
                <w:szCs w:val="20"/>
                <w:lang w:val="en-US" w:eastAsia="en-US"/>
              </w:rPr>
              <w:t> </w:t>
            </w:r>
          </w:p>
        </w:tc>
        <w:tc>
          <w:tcPr>
            <w:tcW w:w="1167"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Imprese</w:t>
            </w:r>
          </w:p>
        </w:tc>
        <w:tc>
          <w:tcPr>
            <w:tcW w:w="1321" w:type="dxa"/>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Indipendenti</w:t>
            </w:r>
          </w:p>
        </w:tc>
        <w:tc>
          <w:tcPr>
            <w:tcW w:w="1177" w:type="dxa"/>
            <w:gridSpan w:val="2"/>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Dipendenti</w:t>
            </w:r>
          </w:p>
        </w:tc>
        <w:tc>
          <w:tcPr>
            <w:tcW w:w="1167" w:type="dxa"/>
            <w:gridSpan w:val="2"/>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Totale</w:t>
            </w:r>
          </w:p>
        </w:tc>
        <w:tc>
          <w:tcPr>
            <w:tcW w:w="1288"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per impresa</w:t>
            </w:r>
          </w:p>
        </w:tc>
        <w:tc>
          <w:tcPr>
            <w:tcW w:w="1431"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Territoriale</w:t>
            </w:r>
          </w:p>
        </w:tc>
      </w:tr>
      <w:tr w:rsidR="002F1C54" w:rsidRPr="00716BEE" w:rsidTr="00D73F13">
        <w:trPr>
          <w:trHeight w:val="6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Varese</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66,678</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86,237</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183,710</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269,947</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-21.6</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Como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46,530</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61,662</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122,529</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184,191</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-25.1</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Sondrio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13,709</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20,430</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34,080</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54,510</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-29.3</w:t>
            </w:r>
          </w:p>
        </w:tc>
      </w:tr>
      <w:tr w:rsidR="002F1C54" w:rsidRPr="00716BEE" w:rsidTr="00D73F13">
        <w:trPr>
          <w:trHeight w:val="86"/>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Milano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297,006</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355,680</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1,441,926</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1,797,607</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4.9</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38.1</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Bergamo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86,868</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112,722</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291,127</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403,849</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3.4</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-4.6</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Brescia</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104,470</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138,603</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291,554</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430,157</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-20.6</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Pavia</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39,265</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49,619</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74,579</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124,198</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1.9</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-46.0</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Cremona</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25,380</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33,779</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56,986</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90,764</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2.2</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-36.1</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Mantova</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32,186</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43,354</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83,163</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126,517</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-26.5</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Lecco</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25,965</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35,204</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68,259</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103,463</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-25.2</w:t>
            </w:r>
          </w:p>
        </w:tc>
      </w:tr>
      <w:tr w:rsidR="002F1C54" w:rsidRPr="00716BEE" w:rsidTr="00D73F13">
        <w:trPr>
          <w:trHeight w:val="80"/>
          <w:jc w:val="center"/>
        </w:trPr>
        <w:tc>
          <w:tcPr>
            <w:tcW w:w="1725" w:type="dxa"/>
            <w:tcBorders>
              <w:top w:val="nil"/>
              <w:left w:val="nil"/>
              <w:bottom w:val="nil"/>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Lodi</w:t>
            </w:r>
          </w:p>
        </w:tc>
        <w:tc>
          <w:tcPr>
            <w:tcW w:w="1167"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14,478</w:t>
            </w:r>
          </w:p>
        </w:tc>
        <w:tc>
          <w:tcPr>
            <w:tcW w:w="1321" w:type="dxa"/>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19,009</w:t>
            </w:r>
          </w:p>
        </w:tc>
        <w:tc>
          <w:tcPr>
            <w:tcW w:w="117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34,210</w:t>
            </w:r>
          </w:p>
        </w:tc>
        <w:tc>
          <w:tcPr>
            <w:tcW w:w="1167" w:type="dxa"/>
            <w:gridSpan w:val="2"/>
            <w:tcBorders>
              <w:top w:val="nil"/>
              <w:left w:val="nil"/>
              <w:bottom w:val="nil"/>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53,219</w:t>
            </w:r>
          </w:p>
        </w:tc>
        <w:tc>
          <w:tcPr>
            <w:tcW w:w="1288"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2.4</w:t>
            </w: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-32.8</w:t>
            </w:r>
          </w:p>
        </w:tc>
      </w:tr>
      <w:tr w:rsidR="002F1C54" w:rsidRPr="00716BEE" w:rsidTr="00D73F13">
        <w:trPr>
          <w:trHeight w:val="80"/>
          <w:jc w:val="center"/>
        </w:trPr>
        <w:tc>
          <w:tcPr>
            <w:tcW w:w="1725" w:type="dxa"/>
            <w:tcBorders>
              <w:top w:val="nil"/>
              <w:left w:val="nil"/>
              <w:bottom w:val="single" w:sz="8" w:space="0" w:color="auto"/>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Monza e Brianza</w:t>
            </w:r>
          </w:p>
        </w:tc>
        <w:tc>
          <w:tcPr>
            <w:tcW w:w="1167"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67,913</w:t>
            </w:r>
          </w:p>
        </w:tc>
        <w:tc>
          <w:tcPr>
            <w:tcW w:w="1321"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87,375</w:t>
            </w:r>
          </w:p>
        </w:tc>
        <w:tc>
          <w:tcPr>
            <w:tcW w:w="1177" w:type="dxa"/>
            <w:gridSpan w:val="2"/>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201,527</w:t>
            </w:r>
          </w:p>
        </w:tc>
        <w:tc>
          <w:tcPr>
            <w:tcW w:w="1167" w:type="dxa"/>
            <w:gridSpan w:val="2"/>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288,902</w:t>
            </w:r>
          </w:p>
        </w:tc>
        <w:tc>
          <w:tcPr>
            <w:tcW w:w="1288"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3.0</w:t>
            </w:r>
          </w:p>
        </w:tc>
        <w:tc>
          <w:tcPr>
            <w:tcW w:w="1431"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-15.6</w:t>
            </w:r>
          </w:p>
        </w:tc>
      </w:tr>
      <w:tr w:rsidR="002F1C54" w:rsidRPr="00716BEE" w:rsidTr="00D73F13">
        <w:trPr>
          <w:trHeight w:val="60"/>
          <w:jc w:val="center"/>
        </w:trPr>
        <w:tc>
          <w:tcPr>
            <w:tcW w:w="1725" w:type="dxa"/>
            <w:tcBorders>
              <w:top w:val="nil"/>
              <w:left w:val="nil"/>
              <w:bottom w:val="single" w:sz="8" w:space="0" w:color="auto"/>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Lombardia</w:t>
            </w:r>
          </w:p>
        </w:tc>
        <w:tc>
          <w:tcPr>
            <w:tcW w:w="1167"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820,448</w:t>
            </w:r>
          </w:p>
        </w:tc>
        <w:tc>
          <w:tcPr>
            <w:tcW w:w="1321" w:type="dxa"/>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1,043,676</w:t>
            </w:r>
          </w:p>
        </w:tc>
        <w:tc>
          <w:tcPr>
            <w:tcW w:w="1177" w:type="dxa"/>
            <w:gridSpan w:val="2"/>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2,883,649</w:t>
            </w:r>
          </w:p>
        </w:tc>
        <w:tc>
          <w:tcPr>
            <w:tcW w:w="1167" w:type="dxa"/>
            <w:gridSpan w:val="2"/>
            <w:tcBorders>
              <w:top w:val="nil"/>
              <w:left w:val="nil"/>
              <w:bottom w:val="single" w:sz="8" w:space="0" w:color="auto"/>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3,927,325</w:t>
            </w:r>
          </w:p>
        </w:tc>
        <w:tc>
          <w:tcPr>
            <w:tcW w:w="1288"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3.5</w:t>
            </w:r>
          </w:p>
        </w:tc>
        <w:tc>
          <w:tcPr>
            <w:tcW w:w="1431"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100</w:t>
            </w:r>
          </w:p>
        </w:tc>
      </w:tr>
      <w:tr w:rsidR="002F1C54" w:rsidRPr="00716BEE" w:rsidTr="00D73F13">
        <w:trPr>
          <w:trHeight w:val="60"/>
          <w:jc w:val="center"/>
        </w:trPr>
        <w:tc>
          <w:tcPr>
            <w:tcW w:w="1725" w:type="dxa"/>
            <w:tcBorders>
              <w:top w:val="nil"/>
              <w:left w:val="nil"/>
              <w:bottom w:val="single" w:sz="8" w:space="0" w:color="000000"/>
              <w:right w:val="nil"/>
            </w:tcBorders>
            <w:shd w:val="clear" w:color="auto" w:fill="auto"/>
            <w:hideMark/>
          </w:tcPr>
          <w:p w:rsidR="002F1C54" w:rsidRPr="00716BEE" w:rsidRDefault="002F1C54" w:rsidP="00D73F13">
            <w:pPr>
              <w:rPr>
                <w:rFonts w:ascii="Garamond" w:hAnsi="Garamond" w:cs="Arial"/>
                <w:b/>
                <w:bCs/>
                <w:sz w:val="20"/>
                <w:szCs w:val="20"/>
                <w:lang w:val="en-US" w:eastAsia="en-US"/>
              </w:rPr>
            </w:pPr>
            <w:r w:rsidRPr="00716BEE">
              <w:rPr>
                <w:rFonts w:ascii="Garamond" w:hAnsi="Garamond" w:cs="Arial"/>
                <w:b/>
                <w:bCs/>
                <w:sz w:val="20"/>
                <w:szCs w:val="20"/>
                <w:lang w:val="en-US" w:eastAsia="en-US"/>
              </w:rPr>
              <w:t>Italia</w:t>
            </w:r>
          </w:p>
        </w:tc>
        <w:tc>
          <w:tcPr>
            <w:tcW w:w="1167" w:type="dxa"/>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4,460,891</w:t>
            </w:r>
          </w:p>
        </w:tc>
        <w:tc>
          <w:tcPr>
            <w:tcW w:w="1321" w:type="dxa"/>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5,580,343</w:t>
            </w:r>
          </w:p>
        </w:tc>
        <w:tc>
          <w:tcPr>
            <w:tcW w:w="1177" w:type="dxa"/>
            <w:gridSpan w:val="2"/>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11,725,392</w:t>
            </w:r>
          </w:p>
        </w:tc>
        <w:tc>
          <w:tcPr>
            <w:tcW w:w="1167" w:type="dxa"/>
            <w:gridSpan w:val="2"/>
            <w:tcBorders>
              <w:top w:val="nil"/>
              <w:left w:val="nil"/>
              <w:bottom w:val="single" w:sz="8" w:space="0" w:color="000000"/>
              <w:right w:val="nil"/>
            </w:tcBorders>
            <w:shd w:val="clear" w:color="auto" w:fill="auto"/>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17,305,735</w:t>
            </w:r>
          </w:p>
        </w:tc>
        <w:tc>
          <w:tcPr>
            <w:tcW w:w="1288"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single" w:sz="8" w:space="0" w:color="auto"/>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val="en-US" w:eastAsia="en-US"/>
              </w:rPr>
            </w:pPr>
            <w:r w:rsidRPr="00716BEE">
              <w:rPr>
                <w:rFonts w:ascii="Garamond" w:hAnsi="Garamond" w:cs="Arial"/>
                <w:sz w:val="20"/>
                <w:szCs w:val="20"/>
                <w:lang w:val="en-US" w:eastAsia="en-US"/>
              </w:rPr>
              <w:t>-</w:t>
            </w:r>
          </w:p>
        </w:tc>
      </w:tr>
      <w:tr w:rsidR="002F1C54" w:rsidRPr="00716BEE" w:rsidTr="00D73F13">
        <w:trPr>
          <w:trHeight w:val="60"/>
          <w:jc w:val="center"/>
        </w:trPr>
        <w:tc>
          <w:tcPr>
            <w:tcW w:w="4340" w:type="dxa"/>
            <w:gridSpan w:val="4"/>
            <w:tcBorders>
              <w:top w:val="nil"/>
              <w:left w:val="nil"/>
              <w:bottom w:val="nil"/>
              <w:right w:val="nil"/>
            </w:tcBorders>
            <w:shd w:val="clear" w:color="auto" w:fill="auto"/>
            <w:noWrap/>
            <w:vAlign w:val="bottom"/>
            <w:hideMark/>
          </w:tcPr>
          <w:p w:rsidR="002F1C54" w:rsidRPr="00716BEE" w:rsidRDefault="002F1C54" w:rsidP="00D73F13">
            <w:pPr>
              <w:rPr>
                <w:rFonts w:ascii="Garamond" w:hAnsi="Garamond" w:cs="Arial"/>
                <w:b/>
                <w:bCs/>
                <w:sz w:val="18"/>
                <w:szCs w:val="18"/>
                <w:lang w:eastAsia="en-US"/>
              </w:rPr>
            </w:pPr>
            <w:r w:rsidRPr="00716BEE">
              <w:rPr>
                <w:rFonts w:ascii="Garamond" w:hAnsi="Garamond" w:cs="Arial"/>
                <w:b/>
                <w:bCs/>
                <w:sz w:val="18"/>
                <w:szCs w:val="18"/>
                <w:lang w:eastAsia="en-US"/>
              </w:rPr>
              <w:t>Fonte: Elaborazioni IRES Morosini su dati ASR</w:t>
            </w:r>
          </w:p>
        </w:tc>
        <w:tc>
          <w:tcPr>
            <w:tcW w:w="1177" w:type="dxa"/>
            <w:gridSpan w:val="2"/>
            <w:tcBorders>
              <w:top w:val="nil"/>
              <w:left w:val="nil"/>
              <w:bottom w:val="nil"/>
              <w:right w:val="nil"/>
            </w:tcBorders>
            <w:shd w:val="clear" w:color="auto" w:fill="auto"/>
            <w:noWrap/>
            <w:vAlign w:val="bottom"/>
            <w:hideMark/>
          </w:tcPr>
          <w:p w:rsidR="002F1C54" w:rsidRPr="00716BEE" w:rsidRDefault="002F1C54" w:rsidP="00D73F13">
            <w:pPr>
              <w:rPr>
                <w:rFonts w:ascii="Garamond" w:hAnsi="Garamond" w:cs="Arial"/>
                <w:sz w:val="20"/>
                <w:szCs w:val="20"/>
                <w:lang w:eastAsia="en-US"/>
              </w:rPr>
            </w:pPr>
          </w:p>
        </w:tc>
        <w:tc>
          <w:tcPr>
            <w:tcW w:w="1167" w:type="dxa"/>
            <w:gridSpan w:val="2"/>
            <w:tcBorders>
              <w:top w:val="nil"/>
              <w:left w:val="nil"/>
              <w:bottom w:val="nil"/>
              <w:right w:val="nil"/>
            </w:tcBorders>
            <w:shd w:val="clear" w:color="auto" w:fill="auto"/>
            <w:noWrap/>
            <w:vAlign w:val="bottom"/>
            <w:hideMark/>
          </w:tcPr>
          <w:p w:rsidR="002F1C54" w:rsidRPr="00716BEE" w:rsidRDefault="002F1C54" w:rsidP="00D73F13">
            <w:pPr>
              <w:rPr>
                <w:rFonts w:ascii="Garamond" w:hAnsi="Garamond" w:cs="Arial"/>
                <w:sz w:val="20"/>
                <w:szCs w:val="20"/>
                <w:lang w:eastAsia="en-US"/>
              </w:rPr>
            </w:pPr>
          </w:p>
        </w:tc>
        <w:tc>
          <w:tcPr>
            <w:tcW w:w="1431" w:type="dxa"/>
            <w:gridSpan w:val="2"/>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eastAsia="en-US"/>
              </w:rPr>
            </w:pPr>
          </w:p>
        </w:tc>
        <w:tc>
          <w:tcPr>
            <w:tcW w:w="1161" w:type="dxa"/>
            <w:tcBorders>
              <w:top w:val="nil"/>
              <w:left w:val="nil"/>
              <w:bottom w:val="nil"/>
              <w:right w:val="nil"/>
            </w:tcBorders>
            <w:shd w:val="clear" w:color="auto" w:fill="auto"/>
            <w:noWrap/>
            <w:vAlign w:val="bottom"/>
            <w:hideMark/>
          </w:tcPr>
          <w:p w:rsidR="002F1C54" w:rsidRPr="00716BEE" w:rsidRDefault="002F1C54" w:rsidP="00D73F13">
            <w:pPr>
              <w:jc w:val="center"/>
              <w:rPr>
                <w:rFonts w:ascii="Garamond" w:hAnsi="Garamond" w:cs="Arial"/>
                <w:sz w:val="20"/>
                <w:szCs w:val="20"/>
                <w:lang w:eastAsia="en-US"/>
              </w:rPr>
            </w:pPr>
          </w:p>
        </w:tc>
      </w:tr>
    </w:tbl>
    <w:p w:rsidR="002F1C54" w:rsidRPr="00BE4A37" w:rsidRDefault="002F1C54" w:rsidP="002F1C54">
      <w:pPr>
        <w:spacing w:line="360" w:lineRule="auto"/>
        <w:jc w:val="both"/>
      </w:pPr>
    </w:p>
    <w:p w:rsidR="002F1C54" w:rsidRDefault="002F1C54" w:rsidP="002F1C54">
      <w:pPr>
        <w:spacing w:line="360" w:lineRule="auto"/>
        <w:jc w:val="both"/>
      </w:pPr>
      <w:r>
        <w:lastRenderedPageBreak/>
        <w:t>differenza (+38%), a fronte di valori inferiori alla media regionale per tutte le altre province considerate. La figura sottostante mostra chiaramente lo scarto esistente tra la provincia di Milano e tutte le altre, fatta parziale eccezione per la provincia di Bergamo che mostra un dato più contenuto (-4,6%). Per quanto concerne le aree rimanenti, il dato relativo al numero medio di addetti per impresa (che va ricordato essere però una stima indiretta e non precisa della presenza di piccolissime imprese nel territorio) oscilla tra il -15,6% registrato all’interno della provincia di Monza e Brianza (che nelle analisi delle sezioni successive sarà considerata aggregata a quella di Milano, dato che molti dati al 2010 non prevedono la distinzione) e il -46% registrato presso Pavia.</w:t>
      </w:r>
    </w:p>
    <w:p w:rsidR="002F1C54" w:rsidRPr="00BE4A37" w:rsidRDefault="002F1C54" w:rsidP="002F1C54">
      <w:pPr>
        <w:spacing w:line="360" w:lineRule="auto"/>
        <w:jc w:val="both"/>
      </w:pPr>
    </w:p>
    <w:p w:rsidR="002F1C54" w:rsidRDefault="002F1C54" w:rsidP="002F1C54">
      <w:pPr>
        <w:jc w:val="center"/>
        <w:rPr>
          <w:b/>
        </w:rPr>
      </w:pPr>
      <w:r>
        <w:rPr>
          <w:b/>
          <w:noProof/>
        </w:rPr>
        <w:drawing>
          <wp:inline distT="0" distB="0" distL="0" distR="0">
            <wp:extent cx="5772785" cy="3009900"/>
            <wp:effectExtent l="19050" t="0" r="18415"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1C54" w:rsidRDefault="002F1C54" w:rsidP="002F1C54">
      <w:pPr>
        <w:jc w:val="both"/>
        <w:rPr>
          <w:b/>
        </w:rPr>
      </w:pPr>
      <w:r>
        <w:rPr>
          <w:rFonts w:ascii="Garamond" w:hAnsi="Garamond" w:cs="Arial"/>
          <w:b/>
          <w:bCs/>
          <w:sz w:val="18"/>
          <w:szCs w:val="18"/>
          <w:lang w:eastAsia="en-US"/>
        </w:rPr>
        <w:t xml:space="preserve">     </w:t>
      </w:r>
      <w:r w:rsidRPr="00716BEE">
        <w:rPr>
          <w:rFonts w:ascii="Garamond" w:hAnsi="Garamond" w:cs="Arial"/>
          <w:b/>
          <w:bCs/>
          <w:sz w:val="18"/>
          <w:szCs w:val="18"/>
          <w:lang w:eastAsia="en-US"/>
        </w:rPr>
        <w:t>Fonte: Elaborazioni IRES Morosini su dati ASR</w:t>
      </w:r>
    </w:p>
    <w:p w:rsidR="002F1C54" w:rsidRDefault="002F1C54" w:rsidP="002F1C54">
      <w:pPr>
        <w:spacing w:line="360" w:lineRule="auto"/>
        <w:jc w:val="both"/>
      </w:pPr>
    </w:p>
    <w:p w:rsidR="002F1C54" w:rsidRPr="00BE4A37" w:rsidRDefault="002F1C54" w:rsidP="002F1C54">
      <w:pPr>
        <w:spacing w:line="360" w:lineRule="auto"/>
        <w:jc w:val="both"/>
      </w:pPr>
      <w:r>
        <w:t>Altro aspetto sottolineato dalla letteratura riguarda il tema dell’assenza di strutture organizzative deputate alla gestione e controllo dei conti, aspetto che faciliterebbe il fenomeno dell’evasione data la minore presenza di controlli incrociati all’interno dell’azienda. Questo aspetto può inoltre essere considerato strettamente correlato alle dimensioni delle imprese, dato che sono soprattutto le imprese di piccole dimensioni a caratterizzarsi per un livello organizzativo più “informale”. Indicatore indiretto di questo aspetto può essere considerato la presenza di ditte individuali e delle società di persone. In questo caso, il dato oscilla tra il 58,9% registrato a Milano e l’84,3% osservato all’interno della provincia di Mantova. Diversamente dal dato precedente é possibile distinguere la regione Lombardia in 3 fasce. Da un lato, la provincia di Milano con un dato inferiore del 16,9% rispetto alla media regionale, dall’altro le aree di Sondrio (+17,7%), Pavia (+18,3%), Cremona (+17,8%), Mantova (+18,9%) e Lodi (+14%), e nel medio le aree rimanenti con valori che oscillano tra il +2,8% di Bergamo e il +9,2% di Como e Lecco.</w:t>
      </w:r>
    </w:p>
    <w:tbl>
      <w:tblPr>
        <w:tblW w:w="9555" w:type="dxa"/>
        <w:tblInd w:w="93" w:type="dxa"/>
        <w:tblLook w:val="04A0"/>
      </w:tblPr>
      <w:tblGrid>
        <w:gridCol w:w="1725"/>
        <w:gridCol w:w="1240"/>
        <w:gridCol w:w="1115"/>
        <w:gridCol w:w="125"/>
        <w:gridCol w:w="1115"/>
        <w:gridCol w:w="125"/>
        <w:gridCol w:w="1115"/>
        <w:gridCol w:w="125"/>
        <w:gridCol w:w="1115"/>
        <w:gridCol w:w="585"/>
        <w:gridCol w:w="655"/>
        <w:gridCol w:w="515"/>
      </w:tblGrid>
      <w:tr w:rsidR="002F1C54" w:rsidRPr="00EA2907" w:rsidTr="00D73F13">
        <w:trPr>
          <w:gridAfter w:val="1"/>
          <w:wAfter w:w="515" w:type="dxa"/>
          <w:trHeight w:val="270"/>
        </w:trPr>
        <w:tc>
          <w:tcPr>
            <w:tcW w:w="9040" w:type="dxa"/>
            <w:gridSpan w:val="11"/>
            <w:tcBorders>
              <w:top w:val="nil"/>
              <w:left w:val="nil"/>
              <w:bottom w:val="single" w:sz="8" w:space="0" w:color="auto"/>
              <w:right w:val="nil"/>
            </w:tcBorders>
            <w:shd w:val="clear" w:color="auto" w:fill="auto"/>
            <w:noWrap/>
            <w:vAlign w:val="bottom"/>
            <w:hideMark/>
          </w:tcPr>
          <w:p w:rsidR="002F1C54" w:rsidRPr="00EA2907" w:rsidRDefault="002F1C54" w:rsidP="00D73F13">
            <w:pPr>
              <w:rPr>
                <w:rFonts w:ascii="Garamond" w:hAnsi="Garamond" w:cs="Arial"/>
                <w:b/>
                <w:bCs/>
                <w:sz w:val="20"/>
                <w:szCs w:val="20"/>
                <w:lang w:val="en-US" w:eastAsia="en-US"/>
              </w:rPr>
            </w:pPr>
            <w:r w:rsidRPr="00EA2907">
              <w:rPr>
                <w:rFonts w:ascii="Garamond" w:hAnsi="Garamond" w:cs="Arial"/>
                <w:b/>
                <w:bCs/>
                <w:sz w:val="20"/>
                <w:szCs w:val="20"/>
                <w:lang w:eastAsia="en-US"/>
              </w:rPr>
              <w:lastRenderedPageBreak/>
              <w:t xml:space="preserve">Imprese attive per forma giuridica al 31.12. Italia, Lombardia e province lombarde. </w:t>
            </w:r>
            <w:r w:rsidRPr="00EA2907">
              <w:rPr>
                <w:rFonts w:ascii="Garamond" w:hAnsi="Garamond" w:cs="Arial"/>
                <w:b/>
                <w:bCs/>
                <w:sz w:val="20"/>
                <w:szCs w:val="20"/>
                <w:lang w:val="en-US" w:eastAsia="en-US"/>
              </w:rPr>
              <w:t>Anno 2012</w:t>
            </w:r>
          </w:p>
        </w:tc>
      </w:tr>
      <w:tr w:rsidR="002F1C54" w:rsidRPr="00EA2907" w:rsidTr="00D73F13">
        <w:trPr>
          <w:trHeight w:val="60"/>
        </w:trPr>
        <w:tc>
          <w:tcPr>
            <w:tcW w:w="1725" w:type="dxa"/>
            <w:tcBorders>
              <w:top w:val="nil"/>
              <w:left w:val="nil"/>
              <w:bottom w:val="nil"/>
              <w:right w:val="nil"/>
            </w:tcBorders>
            <w:shd w:val="clear" w:color="auto" w:fill="auto"/>
            <w:vAlign w:val="center"/>
            <w:hideMark/>
          </w:tcPr>
          <w:p w:rsidR="002F1C54" w:rsidRPr="00455C44" w:rsidRDefault="002F1C54" w:rsidP="00D73F13">
            <w:pPr>
              <w:ind w:firstLineChars="100" w:firstLine="180"/>
              <w:rPr>
                <w:rFonts w:ascii="Garamond" w:hAnsi="Garamond" w:cs="Arial"/>
                <w:sz w:val="18"/>
                <w:szCs w:val="18"/>
                <w:lang w:val="en-US" w:eastAsia="en-US"/>
              </w:rPr>
            </w:pP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Ditte</w:t>
            </w:r>
          </w:p>
        </w:tc>
        <w:tc>
          <w:tcPr>
            <w:tcW w:w="1240" w:type="dxa"/>
            <w:gridSpan w:val="2"/>
            <w:tcBorders>
              <w:top w:val="nil"/>
              <w:left w:val="nil"/>
              <w:bottom w:val="nil"/>
              <w:right w:val="nil"/>
            </w:tcBorders>
            <w:shd w:val="clear" w:color="auto" w:fill="auto"/>
            <w:noWrap/>
            <w:vAlign w:val="center"/>
            <w:hideMark/>
          </w:tcPr>
          <w:p w:rsidR="002F1C54" w:rsidRPr="00455C44" w:rsidRDefault="002F1C54" w:rsidP="00D73F13">
            <w:pPr>
              <w:rPr>
                <w:rFonts w:ascii="Garamond" w:hAnsi="Garamond" w:cs="Arial"/>
                <w:b/>
                <w:bCs/>
                <w:sz w:val="18"/>
                <w:szCs w:val="18"/>
                <w:lang w:val="en-US" w:eastAsia="en-US"/>
              </w:rPr>
            </w:pP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 xml:space="preserve">% ditte individuali </w:t>
            </w:r>
          </w:p>
        </w:tc>
        <w:tc>
          <w:tcPr>
            <w:tcW w:w="1170" w:type="dxa"/>
            <w:gridSpan w:val="2"/>
            <w:tcBorders>
              <w:top w:val="single" w:sz="4" w:space="0" w:color="auto"/>
              <w:left w:val="nil"/>
              <w:bottom w:val="nil"/>
              <w:right w:val="nil"/>
            </w:tcBorders>
            <w:shd w:val="clear" w:color="auto" w:fill="auto"/>
            <w:noWrap/>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Serie</w:t>
            </w:r>
          </w:p>
        </w:tc>
      </w:tr>
      <w:tr w:rsidR="002F1C54" w:rsidRPr="00EA2907" w:rsidTr="00D73F13">
        <w:trPr>
          <w:trHeight w:val="80"/>
        </w:trPr>
        <w:tc>
          <w:tcPr>
            <w:tcW w:w="1725" w:type="dxa"/>
            <w:tcBorders>
              <w:top w:val="nil"/>
              <w:left w:val="nil"/>
              <w:bottom w:val="single" w:sz="8" w:space="0" w:color="000000"/>
              <w:right w:val="nil"/>
            </w:tcBorders>
            <w:shd w:val="clear" w:color="auto" w:fill="auto"/>
            <w:vAlign w:val="center"/>
            <w:hideMark/>
          </w:tcPr>
          <w:p w:rsidR="002F1C54" w:rsidRPr="00455C44" w:rsidRDefault="002F1C54" w:rsidP="00D73F13">
            <w:pPr>
              <w:ind w:firstLineChars="100" w:firstLine="180"/>
              <w:rPr>
                <w:rFonts w:ascii="Garamond" w:hAnsi="Garamond" w:cs="Arial"/>
                <w:sz w:val="18"/>
                <w:szCs w:val="18"/>
                <w:lang w:val="en-US" w:eastAsia="en-US"/>
              </w:rPr>
            </w:pPr>
            <w:r w:rsidRPr="00455C44">
              <w:rPr>
                <w:rFonts w:ascii="Garamond" w:hAnsi="Garamond" w:cs="Arial"/>
                <w:sz w:val="18"/>
                <w:szCs w:val="18"/>
                <w:lang w:val="en-US" w:eastAsia="en-US"/>
              </w:rPr>
              <w:t> </w:t>
            </w:r>
          </w:p>
        </w:tc>
        <w:tc>
          <w:tcPr>
            <w:tcW w:w="1240" w:type="dxa"/>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 capitali</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 persone</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individuali</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TOTALE</w:t>
            </w:r>
          </w:p>
        </w:tc>
        <w:tc>
          <w:tcPr>
            <w:tcW w:w="170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s="Arial"/>
                <w:b/>
                <w:bCs/>
                <w:sz w:val="18"/>
                <w:szCs w:val="18"/>
                <w:lang w:val="en-US" w:eastAsia="en-US"/>
              </w:rPr>
            </w:pPr>
            <w:r>
              <w:rPr>
                <w:rFonts w:ascii="Garamond" w:hAnsi="Garamond" w:cs="Arial"/>
                <w:b/>
                <w:bCs/>
                <w:sz w:val="18"/>
                <w:szCs w:val="18"/>
                <w:lang w:val="en-US" w:eastAsia="en-US"/>
              </w:rPr>
              <w:t>e di persone</w:t>
            </w:r>
          </w:p>
        </w:tc>
        <w:tc>
          <w:tcPr>
            <w:tcW w:w="117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Territoriale</w:t>
            </w:r>
          </w:p>
        </w:tc>
      </w:tr>
      <w:tr w:rsidR="002F1C54" w:rsidRPr="00EA2907" w:rsidTr="00D73F13">
        <w:trPr>
          <w:trHeight w:val="6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Varese</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14,550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14,388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33,770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63,903</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75.4</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6.3</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Como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9,347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10,311</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24,650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45,149</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9.2</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Sondrio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2,124</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3,238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9,113</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14,803</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83.4</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17.7</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Milano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108,248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49,122</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118,840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285,005</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58.9</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-16.9</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Bergamo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21,622</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15,330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47,777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86,547</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72.9</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2.8</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Brescia</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24,575</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22,454</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61,284</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110,643</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75.7</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6.7</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Pavia</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6,363</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7,308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30,087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44,592</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83.9</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18.3</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Cremona</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3,968</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6,447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16,895</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27,942</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83.5</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17.8</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Mantova</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5,406</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8,247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24,521</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38,864</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84.3</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18.9</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Lecco</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5,040</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5,605</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13,217</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24,312</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9.2</w:t>
            </w:r>
          </w:p>
        </w:tc>
      </w:tr>
      <w:tr w:rsidR="002F1C54" w:rsidRPr="00EA2907" w:rsidTr="00D73F13">
        <w:trPr>
          <w:trHeight w:val="80"/>
        </w:trPr>
        <w:tc>
          <w:tcPr>
            <w:tcW w:w="1725" w:type="dxa"/>
            <w:tcBorders>
              <w:top w:val="nil"/>
              <w:left w:val="nil"/>
              <w:bottom w:val="nil"/>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Lodi</w:t>
            </w:r>
          </w:p>
        </w:tc>
        <w:tc>
          <w:tcPr>
            <w:tcW w:w="1240" w:type="dxa"/>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2,652</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3,225</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9,481</w:t>
            </w:r>
          </w:p>
        </w:tc>
        <w:tc>
          <w:tcPr>
            <w:tcW w:w="1240" w:type="dxa"/>
            <w:gridSpan w:val="2"/>
            <w:tcBorders>
              <w:top w:val="nil"/>
              <w:left w:val="nil"/>
              <w:bottom w:val="nil"/>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15,717</w:t>
            </w:r>
          </w:p>
        </w:tc>
        <w:tc>
          <w:tcPr>
            <w:tcW w:w="1700" w:type="dxa"/>
            <w:gridSpan w:val="2"/>
            <w:tcBorders>
              <w:top w:val="nil"/>
              <w:left w:val="nil"/>
              <w:bottom w:val="nil"/>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80.8</w:t>
            </w:r>
          </w:p>
        </w:tc>
        <w:tc>
          <w:tcPr>
            <w:tcW w:w="1170"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14.0</w:t>
            </w:r>
          </w:p>
        </w:tc>
      </w:tr>
      <w:tr w:rsidR="002F1C54" w:rsidRPr="00EA2907" w:rsidTr="00D73F13">
        <w:trPr>
          <w:trHeight w:val="80"/>
        </w:trPr>
        <w:tc>
          <w:tcPr>
            <w:tcW w:w="1725" w:type="dxa"/>
            <w:tcBorders>
              <w:top w:val="nil"/>
              <w:left w:val="nil"/>
              <w:bottom w:val="single" w:sz="8" w:space="0" w:color="auto"/>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Monza e Brianza</w:t>
            </w:r>
          </w:p>
        </w:tc>
        <w:tc>
          <w:tcPr>
            <w:tcW w:w="1240" w:type="dxa"/>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15,681</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14,030</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33,443</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64,342</w:t>
            </w:r>
          </w:p>
        </w:tc>
        <w:tc>
          <w:tcPr>
            <w:tcW w:w="170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73.8</w:t>
            </w:r>
          </w:p>
        </w:tc>
        <w:tc>
          <w:tcPr>
            <w:tcW w:w="1170" w:type="dxa"/>
            <w:gridSpan w:val="2"/>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4.0</w:t>
            </w:r>
          </w:p>
        </w:tc>
      </w:tr>
      <w:tr w:rsidR="002F1C54" w:rsidRPr="00EA2907" w:rsidTr="00D73F13">
        <w:trPr>
          <w:trHeight w:val="60"/>
        </w:trPr>
        <w:tc>
          <w:tcPr>
            <w:tcW w:w="1725" w:type="dxa"/>
            <w:tcBorders>
              <w:top w:val="nil"/>
              <w:left w:val="nil"/>
              <w:bottom w:val="single" w:sz="8" w:space="0" w:color="auto"/>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Lombardia</w:t>
            </w:r>
          </w:p>
        </w:tc>
        <w:tc>
          <w:tcPr>
            <w:tcW w:w="1240" w:type="dxa"/>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219,576</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159,705</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423,078</w:t>
            </w:r>
          </w:p>
        </w:tc>
        <w:tc>
          <w:tcPr>
            <w:tcW w:w="1240" w:type="dxa"/>
            <w:gridSpan w:val="2"/>
            <w:tcBorders>
              <w:top w:val="nil"/>
              <w:left w:val="nil"/>
              <w:bottom w:val="single" w:sz="8" w:space="0" w:color="auto"/>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821,819</w:t>
            </w:r>
          </w:p>
        </w:tc>
        <w:tc>
          <w:tcPr>
            <w:tcW w:w="170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70.9</w:t>
            </w:r>
          </w:p>
        </w:tc>
        <w:tc>
          <w:tcPr>
            <w:tcW w:w="117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100</w:t>
            </w:r>
          </w:p>
        </w:tc>
      </w:tr>
      <w:tr w:rsidR="002F1C54" w:rsidRPr="00EA2907" w:rsidTr="00D73F13">
        <w:trPr>
          <w:trHeight w:val="60"/>
        </w:trPr>
        <w:tc>
          <w:tcPr>
            <w:tcW w:w="1725" w:type="dxa"/>
            <w:tcBorders>
              <w:top w:val="nil"/>
              <w:left w:val="nil"/>
              <w:bottom w:val="single" w:sz="8" w:space="0" w:color="000000"/>
              <w:right w:val="nil"/>
            </w:tcBorders>
            <w:shd w:val="clear" w:color="auto" w:fill="auto"/>
            <w:vAlign w:val="center"/>
            <w:hideMark/>
          </w:tcPr>
          <w:p w:rsidR="002F1C54" w:rsidRPr="00455C44" w:rsidRDefault="002F1C54" w:rsidP="00D73F13">
            <w:pPr>
              <w:rPr>
                <w:rFonts w:ascii="Garamond" w:hAnsi="Garamond" w:cs="Arial"/>
                <w:b/>
                <w:bCs/>
                <w:sz w:val="18"/>
                <w:szCs w:val="18"/>
                <w:lang w:val="en-US" w:eastAsia="en-US"/>
              </w:rPr>
            </w:pPr>
            <w:r w:rsidRPr="00455C44">
              <w:rPr>
                <w:rFonts w:ascii="Garamond" w:hAnsi="Garamond" w:cs="Arial"/>
                <w:b/>
                <w:bCs/>
                <w:sz w:val="18"/>
                <w:szCs w:val="18"/>
                <w:lang w:val="en-US" w:eastAsia="en-US"/>
              </w:rPr>
              <w:t>Italia</w:t>
            </w:r>
          </w:p>
        </w:tc>
        <w:tc>
          <w:tcPr>
            <w:tcW w:w="1240" w:type="dxa"/>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966,141</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888,048</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3,259,192</w:t>
            </w:r>
          </w:p>
        </w:tc>
        <w:tc>
          <w:tcPr>
            <w:tcW w:w="1240" w:type="dxa"/>
            <w:gridSpan w:val="2"/>
            <w:tcBorders>
              <w:top w:val="nil"/>
              <w:left w:val="nil"/>
              <w:bottom w:val="single" w:sz="8" w:space="0" w:color="000000"/>
              <w:right w:val="nil"/>
            </w:tcBorders>
            <w:shd w:val="clear" w:color="auto" w:fill="auto"/>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5,239,924</w:t>
            </w:r>
          </w:p>
        </w:tc>
        <w:tc>
          <w:tcPr>
            <w:tcW w:w="170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olor w:val="000000"/>
                <w:sz w:val="18"/>
                <w:szCs w:val="18"/>
              </w:rPr>
            </w:pPr>
            <w:r w:rsidRPr="00455C44">
              <w:rPr>
                <w:rFonts w:ascii="Garamond" w:hAnsi="Garamond"/>
                <w:color w:val="000000"/>
                <w:sz w:val="18"/>
                <w:szCs w:val="18"/>
              </w:rPr>
              <w:t>79.1</w:t>
            </w:r>
          </w:p>
        </w:tc>
        <w:tc>
          <w:tcPr>
            <w:tcW w:w="1170" w:type="dxa"/>
            <w:gridSpan w:val="2"/>
            <w:tcBorders>
              <w:top w:val="nil"/>
              <w:left w:val="nil"/>
              <w:bottom w:val="single" w:sz="8" w:space="0" w:color="auto"/>
              <w:right w:val="nil"/>
            </w:tcBorders>
            <w:shd w:val="clear" w:color="auto" w:fill="auto"/>
            <w:noWrap/>
            <w:vAlign w:val="center"/>
            <w:hideMark/>
          </w:tcPr>
          <w:p w:rsidR="002F1C54" w:rsidRPr="00455C44" w:rsidRDefault="002F1C54" w:rsidP="00D73F13">
            <w:pPr>
              <w:jc w:val="center"/>
              <w:rPr>
                <w:rFonts w:ascii="Garamond" w:hAnsi="Garamond" w:cs="Arial"/>
                <w:sz w:val="18"/>
                <w:szCs w:val="18"/>
                <w:lang w:val="en-US" w:eastAsia="en-US"/>
              </w:rPr>
            </w:pPr>
            <w:r w:rsidRPr="00455C44">
              <w:rPr>
                <w:rFonts w:ascii="Garamond" w:hAnsi="Garamond" w:cs="Arial"/>
                <w:sz w:val="18"/>
                <w:szCs w:val="18"/>
                <w:lang w:val="en-US" w:eastAsia="en-US"/>
              </w:rPr>
              <w:t>-</w:t>
            </w:r>
          </w:p>
        </w:tc>
      </w:tr>
      <w:tr w:rsidR="002F1C54" w:rsidRPr="00EA2907" w:rsidTr="00D73F13">
        <w:trPr>
          <w:gridAfter w:val="1"/>
          <w:wAfter w:w="515" w:type="dxa"/>
          <w:trHeight w:val="75"/>
        </w:trPr>
        <w:tc>
          <w:tcPr>
            <w:tcW w:w="7800" w:type="dxa"/>
            <w:gridSpan w:val="9"/>
            <w:tcBorders>
              <w:top w:val="nil"/>
              <w:left w:val="nil"/>
              <w:bottom w:val="nil"/>
              <w:right w:val="nil"/>
            </w:tcBorders>
            <w:shd w:val="clear" w:color="auto" w:fill="auto"/>
            <w:noWrap/>
            <w:vAlign w:val="bottom"/>
            <w:hideMark/>
          </w:tcPr>
          <w:p w:rsidR="002F1C54" w:rsidRPr="00EA2907" w:rsidRDefault="002F1C54" w:rsidP="00D73F13">
            <w:pPr>
              <w:rPr>
                <w:rFonts w:ascii="Garamond" w:hAnsi="Garamond" w:cs="Arial"/>
                <w:sz w:val="20"/>
                <w:szCs w:val="20"/>
                <w:lang w:eastAsia="en-US"/>
              </w:rPr>
            </w:pPr>
            <w:r w:rsidRPr="00EA2907">
              <w:rPr>
                <w:rFonts w:ascii="Garamond" w:hAnsi="Garamond" w:cs="Arial"/>
                <w:b/>
                <w:bCs/>
                <w:sz w:val="18"/>
                <w:szCs w:val="18"/>
                <w:lang w:eastAsia="en-US"/>
              </w:rPr>
              <w:t>Fonte: Elaborazioni IRES Morosini su dati ASR</w:t>
            </w:r>
            <w:r w:rsidRPr="00EA2907">
              <w:rPr>
                <w:rFonts w:ascii="Garamond" w:hAnsi="Garamond" w:cs="Arial"/>
                <w:b/>
                <w:bCs/>
                <w:i/>
                <w:iCs/>
                <w:sz w:val="18"/>
                <w:szCs w:val="18"/>
                <w:lang w:eastAsia="en-US"/>
              </w:rPr>
              <w:t>*esclusa la categoria residuale "altro"</w:t>
            </w: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r>
      <w:tr w:rsidR="002F1C54" w:rsidRPr="00EA2907" w:rsidTr="00D73F13">
        <w:trPr>
          <w:gridAfter w:val="1"/>
          <w:wAfter w:w="515" w:type="dxa"/>
          <w:trHeight w:val="80"/>
        </w:trPr>
        <w:tc>
          <w:tcPr>
            <w:tcW w:w="4080" w:type="dxa"/>
            <w:gridSpan w:val="3"/>
            <w:tcBorders>
              <w:top w:val="nil"/>
              <w:left w:val="nil"/>
              <w:bottom w:val="nil"/>
              <w:right w:val="nil"/>
            </w:tcBorders>
            <w:shd w:val="clear" w:color="auto" w:fill="auto"/>
            <w:noWrap/>
            <w:vAlign w:val="bottom"/>
            <w:hideMark/>
          </w:tcPr>
          <w:p w:rsidR="002F1C54" w:rsidRPr="00EA2907" w:rsidRDefault="002F1C54" w:rsidP="00D73F13">
            <w:pPr>
              <w:rPr>
                <w:rFonts w:ascii="Garamond" w:hAnsi="Garamond" w:cs="Arial"/>
                <w:b/>
                <w:bCs/>
                <w:i/>
                <w:iCs/>
                <w:sz w:val="18"/>
                <w:szCs w:val="18"/>
                <w:lang w:eastAsia="en-US"/>
              </w:rPr>
            </w:pP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2F1C54" w:rsidRPr="00EA2907" w:rsidRDefault="002F1C54" w:rsidP="00D73F13">
            <w:pPr>
              <w:jc w:val="center"/>
              <w:rPr>
                <w:rFonts w:ascii="Garamond" w:hAnsi="Garamond" w:cs="Arial"/>
                <w:sz w:val="20"/>
                <w:szCs w:val="20"/>
                <w:lang w:eastAsia="en-US"/>
              </w:rPr>
            </w:pPr>
          </w:p>
        </w:tc>
      </w:tr>
    </w:tbl>
    <w:p w:rsidR="002F1C54" w:rsidRDefault="002F1C54" w:rsidP="002F1C54">
      <w:pPr>
        <w:spacing w:line="360" w:lineRule="auto"/>
        <w:jc w:val="both"/>
      </w:pPr>
    </w:p>
    <w:p w:rsidR="002F1C54" w:rsidRDefault="002F1C54" w:rsidP="002F1C54">
      <w:pPr>
        <w:spacing w:line="360" w:lineRule="auto"/>
        <w:jc w:val="both"/>
      </w:pPr>
      <w:r>
        <w:t>Nell’ultima parte, invece, ci focalizzeremo sui dati relativi all’importanza dei vari settori economici nella struttura economica delle province Lombarde. Come sottolineato dagli studi svolti sul tema (i cui risultati saranno discussi in maniera approfondita nelle sezioni successive), il fenomeno dell’evasione tende a concentrarsi in maniera molto elevata all’interno del settore agricolo, delle costruzioni e nel settore alberghiero. Da sottolineare, però, come esista una profonda differenza tra diffusione dell’evasione per settore e il montante totale evaso. Infatti, per quanto concerne il settore agricolo, se da un lato la propensione all’evasione é molto elevata, dall’altro occorre tenere presente come il valore assoluto evaso sia molto contenuto (proprio per via del fatto che il valore aggiunto prodotto da questo settore é in partenza molto più basso rispetto a tutti gli altri settori.</w:t>
      </w:r>
    </w:p>
    <w:p w:rsidR="002F1C54" w:rsidRDefault="002F1C54" w:rsidP="002F1C54">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2F1C54" w:rsidRPr="002E031C" w:rsidTr="00D73F13">
        <w:trPr>
          <w:gridAfter w:val="1"/>
          <w:wAfter w:w="411" w:type="dxa"/>
          <w:trHeight w:val="80"/>
        </w:trPr>
        <w:tc>
          <w:tcPr>
            <w:tcW w:w="8961" w:type="dxa"/>
            <w:gridSpan w:val="14"/>
            <w:tcBorders>
              <w:top w:val="nil"/>
              <w:left w:val="nil"/>
              <w:bottom w:val="single" w:sz="4" w:space="0" w:color="auto"/>
              <w:right w:val="nil"/>
            </w:tcBorders>
          </w:tcPr>
          <w:p w:rsidR="002F1C54" w:rsidRPr="002E031C" w:rsidRDefault="002F1C54" w:rsidP="00D73F13">
            <w:pPr>
              <w:rPr>
                <w:rFonts w:ascii="Garamond" w:hAnsi="Garamond" w:cs="Arial"/>
                <w:b/>
                <w:bCs/>
                <w:sz w:val="20"/>
                <w:szCs w:val="20"/>
                <w:lang w:val="en-US" w:eastAsia="en-US"/>
              </w:rPr>
            </w:pPr>
            <w:r w:rsidRPr="002E031C">
              <w:rPr>
                <w:rFonts w:ascii="Garamond" w:hAnsi="Garamond" w:cs="Arial"/>
                <w:b/>
                <w:bCs/>
                <w:sz w:val="20"/>
                <w:szCs w:val="20"/>
                <w:lang w:eastAsia="en-US"/>
              </w:rPr>
              <w:t xml:space="preserve">Imprese attive per sezione di attività economica. Italia, Lombardia e province lombarde. </w:t>
            </w:r>
            <w:r w:rsidRPr="002E031C">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r w:rsidRPr="002E031C">
              <w:rPr>
                <w:rFonts w:ascii="Garamond" w:hAnsi="Garamond" w:cs="Arial"/>
                <w:sz w:val="20"/>
                <w:szCs w:val="20"/>
                <w:lang w:val="en-US" w:eastAsia="en-US"/>
              </w:rPr>
              <w:t> </w:t>
            </w:r>
          </w:p>
        </w:tc>
      </w:tr>
      <w:tr w:rsidR="002F1C54" w:rsidRPr="002E031C" w:rsidTr="00D73F13">
        <w:trPr>
          <w:trHeight w:val="121"/>
        </w:trPr>
        <w:tc>
          <w:tcPr>
            <w:tcW w:w="1530" w:type="dxa"/>
            <w:tcBorders>
              <w:top w:val="single" w:sz="4" w:space="0" w:color="auto"/>
              <w:left w:val="nil"/>
              <w:bottom w:val="single" w:sz="8" w:space="0" w:color="000000"/>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2F1C54" w:rsidRPr="002E031C" w:rsidRDefault="002F1C54" w:rsidP="00D73F13">
            <w:pPr>
              <w:jc w:val="center"/>
              <w:rPr>
                <w:rFonts w:ascii="Garamond" w:hAnsi="Garamond" w:cs="Arial"/>
                <w:b/>
                <w:bCs/>
                <w:sz w:val="18"/>
                <w:szCs w:val="18"/>
                <w:lang w:val="en-US" w:eastAsia="en-US"/>
              </w:rPr>
            </w:pPr>
            <w:r>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Totale</w:t>
            </w:r>
          </w:p>
        </w:tc>
      </w:tr>
      <w:tr w:rsidR="002F1C54" w:rsidRPr="002E031C" w:rsidTr="00D73F13">
        <w:trPr>
          <w:trHeight w:val="6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1,764</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9,847</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12,537</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15,363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16,166</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4,104</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4,122</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63,903</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2,197</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6,870</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9,186</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10,111</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10,281</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3,205</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3,299</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45,149</w:t>
            </w:r>
          </w:p>
        </w:tc>
      </w:tr>
      <w:tr w:rsidR="002F1C54" w:rsidRPr="002E031C" w:rsidTr="00D73F13">
        <w:trPr>
          <w:trHeight w:val="131"/>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2,774</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1,364</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2,595</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3,072</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2,441</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1,662</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895</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14,803</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3,695</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30,508</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40,366</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70,635</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83,588</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16,580</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39,633</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285,005</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5,236</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11,526</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20,006</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19,681</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18,329</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5,523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6,246</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86,547</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10,838</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15,515</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18,868</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25,418</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23,819</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8,053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8,132</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110,643</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7,235</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4,769</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8,665</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10,291</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8,049</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2,977</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2,606</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44,592</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4,397</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3,205</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5,219</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6,418</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5,227</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1,765</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1,711</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27,942</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8,538</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4,560</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6,972</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8,602</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6,169</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2,023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2,000</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38,864</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1,163</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4,169</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4,521</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5,713</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5,441</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1,572</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1,733</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24,312</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1,442</w:t>
            </w:r>
          </w:p>
        </w:tc>
        <w:tc>
          <w:tcPr>
            <w:tcW w:w="1336"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1,645</w:t>
            </w:r>
          </w:p>
        </w:tc>
        <w:tc>
          <w:tcPr>
            <w:tcW w:w="1118"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3,541</w:t>
            </w:r>
          </w:p>
        </w:tc>
        <w:tc>
          <w:tcPr>
            <w:tcW w:w="1125"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3,657</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3,311</w:t>
            </w:r>
          </w:p>
        </w:tc>
        <w:tc>
          <w:tcPr>
            <w:tcW w:w="1145" w:type="dxa"/>
            <w:gridSpan w:val="2"/>
            <w:tcBorders>
              <w:top w:val="nil"/>
              <w:left w:val="nil"/>
              <w:bottom w:val="nil"/>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967</w:t>
            </w:r>
          </w:p>
        </w:tc>
        <w:tc>
          <w:tcPr>
            <w:tcW w:w="1009" w:type="dxa"/>
            <w:gridSpan w:val="2"/>
            <w:tcBorders>
              <w:top w:val="nil"/>
              <w:left w:val="nil"/>
              <w:bottom w:val="nil"/>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1,154</w:t>
            </w:r>
          </w:p>
        </w:tc>
        <w:tc>
          <w:tcPr>
            <w:tcW w:w="929" w:type="dxa"/>
            <w:gridSpan w:val="2"/>
            <w:tcBorders>
              <w:top w:val="nil"/>
              <w:left w:val="nil"/>
              <w:bottom w:val="nil"/>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15,717</w:t>
            </w:r>
          </w:p>
        </w:tc>
      </w:tr>
      <w:tr w:rsidR="002F1C54" w:rsidRPr="002E031C" w:rsidTr="00D73F13">
        <w:trPr>
          <w:trHeight w:val="80"/>
        </w:trPr>
        <w:tc>
          <w:tcPr>
            <w:tcW w:w="1530" w:type="dxa"/>
            <w:tcBorders>
              <w:top w:val="nil"/>
              <w:left w:val="nil"/>
              <w:bottom w:val="single" w:sz="8" w:space="0" w:color="auto"/>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979</w:t>
            </w:r>
          </w:p>
        </w:tc>
        <w:tc>
          <w:tcPr>
            <w:tcW w:w="1336"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9,729</w:t>
            </w:r>
          </w:p>
        </w:tc>
        <w:tc>
          <w:tcPr>
            <w:tcW w:w="1118"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12,539</w:t>
            </w:r>
          </w:p>
        </w:tc>
        <w:tc>
          <w:tcPr>
            <w:tcW w:w="1125"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16,654</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15,885</w:t>
            </w:r>
          </w:p>
        </w:tc>
        <w:tc>
          <w:tcPr>
            <w:tcW w:w="1145" w:type="dxa"/>
            <w:gridSpan w:val="2"/>
            <w:tcBorders>
              <w:top w:val="nil"/>
              <w:left w:val="nil"/>
              <w:bottom w:val="single" w:sz="8" w:space="0" w:color="auto"/>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3,184</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5,372</w:t>
            </w:r>
          </w:p>
        </w:tc>
        <w:tc>
          <w:tcPr>
            <w:tcW w:w="929"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64,342</w:t>
            </w:r>
          </w:p>
        </w:tc>
      </w:tr>
      <w:tr w:rsidR="002F1C54" w:rsidRPr="002E031C" w:rsidTr="00D73F13">
        <w:trPr>
          <w:trHeight w:val="156"/>
        </w:trPr>
        <w:tc>
          <w:tcPr>
            <w:tcW w:w="1530" w:type="dxa"/>
            <w:tcBorders>
              <w:top w:val="nil"/>
              <w:left w:val="nil"/>
              <w:bottom w:val="single" w:sz="8" w:space="0" w:color="auto"/>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50,258</w:t>
            </w:r>
          </w:p>
        </w:tc>
        <w:tc>
          <w:tcPr>
            <w:tcW w:w="1336"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103,707</w:t>
            </w:r>
          </w:p>
        </w:tc>
        <w:tc>
          <w:tcPr>
            <w:tcW w:w="1118"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145,015</w:t>
            </w:r>
          </w:p>
        </w:tc>
        <w:tc>
          <w:tcPr>
            <w:tcW w:w="1125"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195,615</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198,706</w:t>
            </w:r>
          </w:p>
        </w:tc>
        <w:tc>
          <w:tcPr>
            <w:tcW w:w="1145" w:type="dxa"/>
            <w:gridSpan w:val="2"/>
            <w:tcBorders>
              <w:top w:val="nil"/>
              <w:left w:val="nil"/>
              <w:bottom w:val="single" w:sz="8" w:space="0" w:color="auto"/>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51,615</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76,903</w:t>
            </w:r>
          </w:p>
        </w:tc>
        <w:tc>
          <w:tcPr>
            <w:tcW w:w="929"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821,819</w:t>
            </w:r>
          </w:p>
        </w:tc>
      </w:tr>
      <w:tr w:rsidR="002F1C54" w:rsidRPr="002E031C" w:rsidTr="00D73F13">
        <w:trPr>
          <w:trHeight w:val="60"/>
        </w:trPr>
        <w:tc>
          <w:tcPr>
            <w:tcW w:w="1530" w:type="dxa"/>
            <w:tcBorders>
              <w:top w:val="nil"/>
              <w:left w:val="nil"/>
              <w:bottom w:val="single" w:sz="8" w:space="0" w:color="000000"/>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809,745</w:t>
            </w:r>
          </w:p>
        </w:tc>
        <w:tc>
          <w:tcPr>
            <w:tcW w:w="1336"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526,511</w:t>
            </w:r>
          </w:p>
        </w:tc>
        <w:tc>
          <w:tcPr>
            <w:tcW w:w="1118"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813,277</w:t>
            </w:r>
          </w:p>
        </w:tc>
        <w:tc>
          <w:tcPr>
            <w:tcW w:w="1125"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1,419,366</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952,028</w:t>
            </w:r>
          </w:p>
        </w:tc>
        <w:tc>
          <w:tcPr>
            <w:tcW w:w="1145" w:type="dxa"/>
            <w:gridSpan w:val="2"/>
            <w:tcBorders>
              <w:top w:val="nil"/>
              <w:left w:val="nil"/>
              <w:bottom w:val="single" w:sz="8" w:space="0" w:color="auto"/>
              <w:right w:val="nil"/>
            </w:tcBorders>
            <w:vAlign w:val="center"/>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355,422</w:t>
            </w:r>
          </w:p>
        </w:tc>
        <w:tc>
          <w:tcPr>
            <w:tcW w:w="1009" w:type="dxa"/>
            <w:gridSpan w:val="2"/>
            <w:tcBorders>
              <w:top w:val="nil"/>
              <w:left w:val="nil"/>
              <w:bottom w:val="single" w:sz="8" w:space="0" w:color="auto"/>
              <w:right w:val="nil"/>
            </w:tcBorders>
            <w:shd w:val="clear" w:color="auto" w:fill="auto"/>
            <w:noWrap/>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363,575</w:t>
            </w:r>
          </w:p>
        </w:tc>
        <w:tc>
          <w:tcPr>
            <w:tcW w:w="929" w:type="dxa"/>
            <w:gridSpan w:val="2"/>
            <w:tcBorders>
              <w:top w:val="nil"/>
              <w:left w:val="nil"/>
              <w:bottom w:val="single" w:sz="8" w:space="0" w:color="auto"/>
              <w:right w:val="nil"/>
            </w:tcBorders>
            <w:shd w:val="clear" w:color="auto" w:fill="auto"/>
            <w:vAlign w:val="center"/>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5,239,924</w:t>
            </w:r>
          </w:p>
        </w:tc>
      </w:tr>
      <w:tr w:rsidR="002F1C54" w:rsidRPr="002E031C" w:rsidTr="00D73F13">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2F1C54" w:rsidRPr="002E031C" w:rsidRDefault="002F1C54" w:rsidP="00D73F13">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2F1C54" w:rsidRPr="002E031C" w:rsidRDefault="002F1C54" w:rsidP="00D73F13">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r>
    </w:tbl>
    <w:p w:rsidR="002F1C54" w:rsidRPr="00BE4A37" w:rsidRDefault="002F1C54" w:rsidP="002F1C54">
      <w:pPr>
        <w:spacing w:line="360" w:lineRule="auto"/>
        <w:jc w:val="both"/>
      </w:pPr>
    </w:p>
    <w:p w:rsidR="002F1C54" w:rsidRDefault="002F1C54" w:rsidP="002F1C54">
      <w:pPr>
        <w:spacing w:line="360" w:lineRule="auto"/>
        <w:jc w:val="both"/>
      </w:pPr>
      <w:r>
        <w:t xml:space="preserve">Come mostra la tabella sottostante, per quanto concerne il settore agricolo, a fronte di un dato medio regionale pari al 6,1% delle imprese attive, le province di Sondrio, Pavia, Cremona e Mantova si caratterizzano per valori nettamente più elevati e pari rispettivamente al 18,7%, 16,2%, </w:t>
      </w:r>
      <w:r>
        <w:lastRenderedPageBreak/>
        <w:t>15,7% e 22% delle imprese totali. Maggiore omogeneità si registra invece per quanto concerne il settore dell’edilizia. In questo caso, la presenza sul territorio oscilla tra il 14,2% presso Milano e il 23,1% presso Bergamo. Anche il settore alberghiero mostra un elevato livello di omogeneità tra le varie province con la sola eccezione dell’area di Sondrio nella quale il settore interessa l’11,2% delle imprese attive.</w:t>
      </w:r>
    </w:p>
    <w:p w:rsidR="002F1C54" w:rsidRDefault="002F1C54" w:rsidP="002F1C54">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2F1C54" w:rsidRPr="002E031C" w:rsidTr="00D73F13">
        <w:trPr>
          <w:gridAfter w:val="1"/>
          <w:wAfter w:w="411" w:type="dxa"/>
          <w:trHeight w:val="158"/>
        </w:trPr>
        <w:tc>
          <w:tcPr>
            <w:tcW w:w="8961" w:type="dxa"/>
            <w:gridSpan w:val="14"/>
            <w:tcBorders>
              <w:top w:val="nil"/>
              <w:left w:val="nil"/>
              <w:bottom w:val="single" w:sz="4" w:space="0" w:color="auto"/>
              <w:right w:val="nil"/>
            </w:tcBorders>
          </w:tcPr>
          <w:p w:rsidR="002F1C54" w:rsidRPr="002E031C" w:rsidRDefault="002F1C54" w:rsidP="00D73F13">
            <w:pPr>
              <w:rPr>
                <w:rFonts w:ascii="Garamond" w:hAnsi="Garamond" w:cs="Arial"/>
                <w:b/>
                <w:bCs/>
                <w:sz w:val="20"/>
                <w:szCs w:val="20"/>
                <w:lang w:val="en-US" w:eastAsia="en-US"/>
              </w:rPr>
            </w:pPr>
            <w:r w:rsidRPr="002E031C">
              <w:rPr>
                <w:rFonts w:ascii="Garamond" w:hAnsi="Garamond" w:cs="Arial"/>
                <w:b/>
                <w:bCs/>
                <w:sz w:val="20"/>
                <w:szCs w:val="20"/>
                <w:lang w:eastAsia="en-US"/>
              </w:rPr>
              <w:t xml:space="preserve">Imprese attive per sezione di attività economica. Italia, Lombardia e province lombarde. </w:t>
            </w:r>
            <w:r w:rsidRPr="002E031C">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r w:rsidRPr="002E031C">
              <w:rPr>
                <w:rFonts w:ascii="Garamond" w:hAnsi="Garamond" w:cs="Arial"/>
                <w:sz w:val="20"/>
                <w:szCs w:val="20"/>
                <w:lang w:val="en-US" w:eastAsia="en-US"/>
              </w:rPr>
              <w:t> </w:t>
            </w:r>
          </w:p>
        </w:tc>
      </w:tr>
      <w:tr w:rsidR="002F1C54" w:rsidRPr="002E031C" w:rsidTr="00D73F13">
        <w:trPr>
          <w:trHeight w:val="70"/>
        </w:trPr>
        <w:tc>
          <w:tcPr>
            <w:tcW w:w="1530" w:type="dxa"/>
            <w:tcBorders>
              <w:top w:val="single" w:sz="4" w:space="0" w:color="auto"/>
              <w:left w:val="nil"/>
              <w:bottom w:val="single" w:sz="8" w:space="0" w:color="000000"/>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2F1C54" w:rsidRPr="002E031C" w:rsidRDefault="002F1C54" w:rsidP="00D73F13">
            <w:pPr>
              <w:jc w:val="center"/>
              <w:rPr>
                <w:rFonts w:ascii="Garamond" w:hAnsi="Garamond" w:cs="Arial"/>
                <w:b/>
                <w:bCs/>
                <w:sz w:val="18"/>
                <w:szCs w:val="18"/>
                <w:lang w:val="en-US" w:eastAsia="en-US"/>
              </w:rPr>
            </w:pPr>
            <w:r>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2F1C54" w:rsidRPr="002E031C" w:rsidRDefault="002F1C54" w:rsidP="00D73F13">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Totale</w:t>
            </w:r>
          </w:p>
        </w:tc>
      </w:tr>
      <w:tr w:rsidR="002F1C54" w:rsidRPr="002E031C" w:rsidTr="00D73F13">
        <w:trPr>
          <w:trHeight w:val="138"/>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2.8</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15.4</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19.6</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24.0</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25.3</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6.5</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4.9</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15.2</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20.3</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22.4</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22.8</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7.1</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6"/>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18.7</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9.2</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17.5</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20.8</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16.5</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11.2</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6.0</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1.3</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14.2</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24.8</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29.3</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5.8</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13.9</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13"/>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6.0</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13.3</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23.1</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22.7</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21.2</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7.2</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9.8</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14.0</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17.1</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21.5</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7.3</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4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16.2</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19.4</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23.1</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18.1</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6.7</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5.8</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58"/>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15.7</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11.5</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18.7</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18.7</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6.3</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6.1</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6"/>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22.0</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11.7</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17.9</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22.1</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15.9</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5.2</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5.1</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4.8</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17.1</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18.6</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23.5</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22.4</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6.5</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7.1</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80"/>
        </w:trPr>
        <w:tc>
          <w:tcPr>
            <w:tcW w:w="1530" w:type="dxa"/>
            <w:tcBorders>
              <w:top w:val="nil"/>
              <w:left w:val="nil"/>
              <w:bottom w:val="nil"/>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9.2</w:t>
            </w:r>
          </w:p>
        </w:tc>
        <w:tc>
          <w:tcPr>
            <w:tcW w:w="1336"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10.5</w:t>
            </w:r>
          </w:p>
        </w:tc>
        <w:tc>
          <w:tcPr>
            <w:tcW w:w="1118"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22.5</w:t>
            </w:r>
          </w:p>
        </w:tc>
        <w:tc>
          <w:tcPr>
            <w:tcW w:w="1125"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23.3</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21.1</w:t>
            </w:r>
          </w:p>
        </w:tc>
        <w:tc>
          <w:tcPr>
            <w:tcW w:w="1145" w:type="dxa"/>
            <w:gridSpan w:val="2"/>
            <w:tcBorders>
              <w:top w:val="nil"/>
              <w:left w:val="nil"/>
              <w:bottom w:val="nil"/>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6.2</w:t>
            </w:r>
          </w:p>
        </w:tc>
        <w:tc>
          <w:tcPr>
            <w:tcW w:w="1009" w:type="dxa"/>
            <w:gridSpan w:val="2"/>
            <w:tcBorders>
              <w:top w:val="nil"/>
              <w:left w:val="nil"/>
              <w:bottom w:val="nil"/>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31"/>
        </w:trPr>
        <w:tc>
          <w:tcPr>
            <w:tcW w:w="1530" w:type="dxa"/>
            <w:tcBorders>
              <w:top w:val="nil"/>
              <w:left w:val="nil"/>
              <w:bottom w:val="single" w:sz="8" w:space="0" w:color="auto"/>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w:t>
            </w:r>
          </w:p>
        </w:tc>
        <w:tc>
          <w:tcPr>
            <w:tcW w:w="1336"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15.1</w:t>
            </w:r>
          </w:p>
        </w:tc>
        <w:tc>
          <w:tcPr>
            <w:tcW w:w="1118"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19.5</w:t>
            </w:r>
          </w:p>
        </w:tc>
        <w:tc>
          <w:tcPr>
            <w:tcW w:w="1125"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25.9</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24.7</w:t>
            </w:r>
          </w:p>
        </w:tc>
        <w:tc>
          <w:tcPr>
            <w:tcW w:w="1145" w:type="dxa"/>
            <w:gridSpan w:val="2"/>
            <w:tcBorders>
              <w:top w:val="nil"/>
              <w:left w:val="nil"/>
              <w:bottom w:val="single" w:sz="8" w:space="0" w:color="auto"/>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4.9</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8.3</w:t>
            </w:r>
          </w:p>
        </w:tc>
        <w:tc>
          <w:tcPr>
            <w:tcW w:w="929"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156"/>
        </w:trPr>
        <w:tc>
          <w:tcPr>
            <w:tcW w:w="1530" w:type="dxa"/>
            <w:tcBorders>
              <w:top w:val="nil"/>
              <w:left w:val="nil"/>
              <w:bottom w:val="single" w:sz="8" w:space="0" w:color="auto"/>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6.1</w:t>
            </w:r>
          </w:p>
        </w:tc>
        <w:tc>
          <w:tcPr>
            <w:tcW w:w="1336"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12.6</w:t>
            </w:r>
          </w:p>
        </w:tc>
        <w:tc>
          <w:tcPr>
            <w:tcW w:w="1118"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17.6</w:t>
            </w:r>
          </w:p>
        </w:tc>
        <w:tc>
          <w:tcPr>
            <w:tcW w:w="1125"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23.8</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24.2</w:t>
            </w:r>
          </w:p>
        </w:tc>
        <w:tc>
          <w:tcPr>
            <w:tcW w:w="1145" w:type="dxa"/>
            <w:gridSpan w:val="2"/>
            <w:tcBorders>
              <w:top w:val="nil"/>
              <w:left w:val="nil"/>
              <w:bottom w:val="single" w:sz="8" w:space="0" w:color="auto"/>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6.3</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9.4</w:t>
            </w:r>
          </w:p>
        </w:tc>
        <w:tc>
          <w:tcPr>
            <w:tcW w:w="929"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trHeight w:val="60"/>
        </w:trPr>
        <w:tc>
          <w:tcPr>
            <w:tcW w:w="1530" w:type="dxa"/>
            <w:tcBorders>
              <w:top w:val="nil"/>
              <w:left w:val="nil"/>
              <w:bottom w:val="single" w:sz="8" w:space="0" w:color="000000"/>
              <w:right w:val="nil"/>
            </w:tcBorders>
            <w:shd w:val="clear" w:color="auto" w:fill="auto"/>
            <w:vAlign w:val="center"/>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15.5</w:t>
            </w:r>
          </w:p>
        </w:tc>
        <w:tc>
          <w:tcPr>
            <w:tcW w:w="1336"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c>
          <w:tcPr>
            <w:tcW w:w="1118"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15.5</w:t>
            </w:r>
          </w:p>
        </w:tc>
        <w:tc>
          <w:tcPr>
            <w:tcW w:w="1125"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27.1</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18.2</w:t>
            </w:r>
          </w:p>
        </w:tc>
        <w:tc>
          <w:tcPr>
            <w:tcW w:w="1145" w:type="dxa"/>
            <w:gridSpan w:val="2"/>
            <w:tcBorders>
              <w:top w:val="nil"/>
              <w:left w:val="nil"/>
              <w:bottom w:val="single" w:sz="8" w:space="0" w:color="auto"/>
              <w:right w:val="nil"/>
            </w:tcBorders>
            <w:vAlign w:val="bottom"/>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6.8</w:t>
            </w:r>
          </w:p>
        </w:tc>
        <w:tc>
          <w:tcPr>
            <w:tcW w:w="1009" w:type="dxa"/>
            <w:gridSpan w:val="2"/>
            <w:tcBorders>
              <w:top w:val="nil"/>
              <w:left w:val="nil"/>
              <w:bottom w:val="single" w:sz="8" w:space="0" w:color="auto"/>
              <w:right w:val="nil"/>
            </w:tcBorders>
            <w:shd w:val="clear" w:color="auto" w:fill="auto"/>
            <w:noWrap/>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6.9</w:t>
            </w:r>
          </w:p>
        </w:tc>
        <w:tc>
          <w:tcPr>
            <w:tcW w:w="929" w:type="dxa"/>
            <w:gridSpan w:val="2"/>
            <w:tcBorders>
              <w:top w:val="nil"/>
              <w:left w:val="nil"/>
              <w:bottom w:val="single" w:sz="8" w:space="0" w:color="auto"/>
              <w:right w:val="nil"/>
            </w:tcBorders>
            <w:shd w:val="clear" w:color="auto" w:fill="auto"/>
            <w:vAlign w:val="bottom"/>
            <w:hideMark/>
          </w:tcPr>
          <w:p w:rsidR="002F1C54" w:rsidRPr="00963ADB" w:rsidRDefault="002F1C54" w:rsidP="00D73F13">
            <w:pPr>
              <w:jc w:val="center"/>
              <w:rPr>
                <w:rFonts w:ascii="Garamond" w:hAnsi="Garamond" w:cs="Arial"/>
                <w:sz w:val="18"/>
                <w:szCs w:val="18"/>
              </w:rPr>
            </w:pPr>
            <w:r w:rsidRPr="00963ADB">
              <w:rPr>
                <w:rFonts w:ascii="Garamond" w:hAnsi="Garamond" w:cs="Arial"/>
                <w:sz w:val="18"/>
                <w:szCs w:val="18"/>
              </w:rPr>
              <w:t>100</w:t>
            </w:r>
          </w:p>
        </w:tc>
      </w:tr>
      <w:tr w:rsidR="002F1C54" w:rsidRPr="002E031C" w:rsidTr="00D73F13">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b/>
                <w:bCs/>
                <w:sz w:val="18"/>
                <w:szCs w:val="18"/>
                <w:lang w:val="en-US" w:eastAsia="en-US"/>
              </w:rPr>
            </w:pPr>
            <w:r w:rsidRPr="002E031C">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2F1C54" w:rsidRPr="002E031C" w:rsidRDefault="002F1C54" w:rsidP="00D73F13">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2F1C54" w:rsidRPr="002E031C" w:rsidRDefault="002F1C54" w:rsidP="00D73F13">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2F1C54" w:rsidRPr="002E031C"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r>
        <w:t xml:space="preserve">Le sezioni che seguono saranno dedicate invece all’analisi della diffusione sul territorio delle aziende artigiane e dei piccoli esercizi commerciali quali gli esercizi di vicinato. Come si può osservare dalla tabella sottostante, dall’inizio della crisi economica il dato relativo alle aziende artigiane risulta essersi sensibilmente ridotto (-1,58% a livello regionale con una punta del -6,08% </w:t>
      </w:r>
    </w:p>
    <w:p w:rsidR="002F1C54" w:rsidRDefault="002F1C54" w:rsidP="002F1C54">
      <w:pPr>
        <w:spacing w:line="360" w:lineRule="auto"/>
        <w:jc w:val="both"/>
      </w:pPr>
    </w:p>
    <w:tbl>
      <w:tblPr>
        <w:tblW w:w="8712" w:type="dxa"/>
        <w:jc w:val="center"/>
        <w:tblLook w:val="04A0"/>
      </w:tblPr>
      <w:tblGrid>
        <w:gridCol w:w="1860"/>
        <w:gridCol w:w="1240"/>
        <w:gridCol w:w="1420"/>
        <w:gridCol w:w="1420"/>
        <w:gridCol w:w="1360"/>
        <w:gridCol w:w="1412"/>
      </w:tblGrid>
      <w:tr w:rsidR="002F1C54" w:rsidRPr="004D28D2" w:rsidTr="00D73F13">
        <w:trPr>
          <w:trHeight w:val="270"/>
          <w:jc w:val="center"/>
        </w:trPr>
        <w:tc>
          <w:tcPr>
            <w:tcW w:w="8712" w:type="dxa"/>
            <w:gridSpan w:val="6"/>
            <w:tcBorders>
              <w:top w:val="nil"/>
              <w:left w:val="nil"/>
              <w:bottom w:val="single" w:sz="8" w:space="0" w:color="auto"/>
              <w:right w:val="nil"/>
            </w:tcBorders>
            <w:shd w:val="clear" w:color="auto" w:fill="auto"/>
            <w:noWrap/>
            <w:vAlign w:val="bottom"/>
            <w:hideMark/>
          </w:tcPr>
          <w:p w:rsidR="002F1C54" w:rsidRPr="00B72876" w:rsidRDefault="002F1C54" w:rsidP="00D73F13">
            <w:pPr>
              <w:rPr>
                <w:rFonts w:ascii="Garamond" w:hAnsi="Garamond" w:cs="Arial"/>
                <w:b/>
                <w:bCs/>
                <w:sz w:val="20"/>
                <w:szCs w:val="20"/>
                <w:lang w:eastAsia="en-US"/>
              </w:rPr>
            </w:pPr>
            <w:r>
              <w:rPr>
                <w:rFonts w:ascii="Garamond" w:hAnsi="Garamond" w:cs="Arial"/>
                <w:b/>
                <w:bCs/>
                <w:sz w:val="20"/>
                <w:szCs w:val="20"/>
                <w:lang w:eastAsia="en-US"/>
              </w:rPr>
              <w:t>Evoluzione numero aziende artigiane attive</w:t>
            </w:r>
            <w:r w:rsidRPr="004D28D2">
              <w:rPr>
                <w:rFonts w:ascii="Garamond" w:hAnsi="Garamond" w:cs="Arial"/>
                <w:b/>
                <w:bCs/>
                <w:sz w:val="20"/>
                <w:szCs w:val="20"/>
                <w:lang w:eastAsia="en-US"/>
              </w:rPr>
              <w:t>. Italia, Lombardia e province lombarde.</w:t>
            </w:r>
          </w:p>
        </w:tc>
      </w:tr>
      <w:tr w:rsidR="002F1C54" w:rsidRPr="004D28D2" w:rsidTr="00D73F13">
        <w:trPr>
          <w:trHeight w:val="210"/>
          <w:jc w:val="center"/>
        </w:trPr>
        <w:tc>
          <w:tcPr>
            <w:tcW w:w="1860" w:type="dxa"/>
            <w:tcBorders>
              <w:top w:val="nil"/>
              <w:left w:val="nil"/>
              <w:bottom w:val="single" w:sz="8" w:space="0" w:color="000000"/>
              <w:right w:val="nil"/>
            </w:tcBorders>
            <w:shd w:val="clear" w:color="auto" w:fill="auto"/>
            <w:vAlign w:val="center"/>
            <w:hideMark/>
          </w:tcPr>
          <w:p w:rsidR="002F1C54" w:rsidRPr="00B72876" w:rsidRDefault="002F1C54" w:rsidP="00D73F13">
            <w:pPr>
              <w:rPr>
                <w:rFonts w:ascii="Garamond" w:hAnsi="Garamond" w:cs="Arial"/>
                <w:b/>
                <w:bCs/>
                <w:sz w:val="20"/>
                <w:szCs w:val="20"/>
                <w:lang w:eastAsia="en-US"/>
              </w:rPr>
            </w:pPr>
            <w:r w:rsidRPr="00B72876">
              <w:rPr>
                <w:rFonts w:ascii="Garamond" w:hAnsi="Garamond" w:cs="Arial"/>
                <w:b/>
                <w:bCs/>
                <w:sz w:val="20"/>
                <w:szCs w:val="20"/>
                <w:lang w:eastAsia="en-US"/>
              </w:rPr>
              <w:t> </w:t>
            </w:r>
          </w:p>
        </w:tc>
        <w:tc>
          <w:tcPr>
            <w:tcW w:w="1240" w:type="dxa"/>
            <w:tcBorders>
              <w:top w:val="nil"/>
              <w:left w:val="nil"/>
              <w:bottom w:val="single" w:sz="8" w:space="0" w:color="000000"/>
              <w:right w:val="nil"/>
            </w:tcBorders>
            <w:shd w:val="clear" w:color="auto" w:fill="auto"/>
            <w:vAlign w:val="center"/>
            <w:hideMark/>
          </w:tcPr>
          <w:p w:rsidR="002F1C54" w:rsidRPr="00B72876" w:rsidRDefault="002F1C54" w:rsidP="00D73F13">
            <w:pPr>
              <w:ind w:firstLineChars="100" w:firstLine="201"/>
              <w:rPr>
                <w:rFonts w:ascii="Garamond" w:hAnsi="Garamond" w:cs="Arial"/>
                <w:b/>
                <w:sz w:val="20"/>
                <w:szCs w:val="20"/>
              </w:rPr>
            </w:pPr>
            <w:r w:rsidRPr="00B72876">
              <w:rPr>
                <w:rFonts w:ascii="Garamond" w:hAnsi="Garamond" w:cs="Arial"/>
                <w:b/>
                <w:sz w:val="20"/>
                <w:szCs w:val="20"/>
              </w:rPr>
              <w:t xml:space="preserve">   2009</w:t>
            </w:r>
          </w:p>
        </w:tc>
        <w:tc>
          <w:tcPr>
            <w:tcW w:w="1420" w:type="dxa"/>
            <w:tcBorders>
              <w:top w:val="nil"/>
              <w:left w:val="nil"/>
              <w:bottom w:val="single" w:sz="8" w:space="0" w:color="000000"/>
              <w:right w:val="nil"/>
            </w:tcBorders>
            <w:shd w:val="clear" w:color="auto" w:fill="auto"/>
            <w:vAlign w:val="center"/>
            <w:hideMark/>
          </w:tcPr>
          <w:p w:rsidR="002F1C54" w:rsidRPr="00B72876" w:rsidRDefault="002F1C54" w:rsidP="00D73F13">
            <w:pPr>
              <w:rPr>
                <w:rFonts w:ascii="Garamond" w:hAnsi="Garamond" w:cs="Arial"/>
                <w:b/>
                <w:sz w:val="20"/>
                <w:szCs w:val="20"/>
              </w:rPr>
            </w:pPr>
            <w:r w:rsidRPr="00B72876">
              <w:rPr>
                <w:rFonts w:ascii="Garamond" w:hAnsi="Garamond" w:cs="Arial"/>
                <w:b/>
                <w:sz w:val="20"/>
                <w:szCs w:val="20"/>
              </w:rPr>
              <w:t xml:space="preserve">         2010</w:t>
            </w:r>
          </w:p>
        </w:tc>
        <w:tc>
          <w:tcPr>
            <w:tcW w:w="1420" w:type="dxa"/>
            <w:tcBorders>
              <w:top w:val="nil"/>
              <w:left w:val="nil"/>
              <w:bottom w:val="single" w:sz="8" w:space="0" w:color="000000"/>
              <w:right w:val="nil"/>
            </w:tcBorders>
            <w:shd w:val="clear" w:color="auto" w:fill="auto"/>
            <w:vAlign w:val="center"/>
            <w:hideMark/>
          </w:tcPr>
          <w:p w:rsidR="002F1C54" w:rsidRPr="00B72876" w:rsidRDefault="002F1C54" w:rsidP="00D73F13">
            <w:pPr>
              <w:ind w:firstLineChars="100" w:firstLine="201"/>
              <w:rPr>
                <w:rFonts w:ascii="Garamond" w:hAnsi="Garamond" w:cs="Arial"/>
                <w:b/>
                <w:sz w:val="20"/>
                <w:szCs w:val="20"/>
              </w:rPr>
            </w:pPr>
            <w:r w:rsidRPr="00B72876">
              <w:rPr>
                <w:rFonts w:ascii="Garamond" w:hAnsi="Garamond" w:cs="Arial"/>
                <w:b/>
                <w:sz w:val="20"/>
                <w:szCs w:val="20"/>
              </w:rPr>
              <w:t xml:space="preserve">   </w:t>
            </w:r>
            <w:r>
              <w:rPr>
                <w:rFonts w:ascii="Garamond" w:hAnsi="Garamond" w:cs="Arial"/>
                <w:b/>
                <w:sz w:val="20"/>
                <w:szCs w:val="20"/>
              </w:rPr>
              <w:t xml:space="preserve"> </w:t>
            </w:r>
            <w:r w:rsidRPr="00B72876">
              <w:rPr>
                <w:rFonts w:ascii="Garamond" w:hAnsi="Garamond" w:cs="Arial"/>
                <w:b/>
                <w:sz w:val="20"/>
                <w:szCs w:val="20"/>
              </w:rPr>
              <w:t xml:space="preserve"> 2011</w:t>
            </w:r>
          </w:p>
        </w:tc>
        <w:tc>
          <w:tcPr>
            <w:tcW w:w="1360" w:type="dxa"/>
            <w:tcBorders>
              <w:top w:val="nil"/>
              <w:left w:val="nil"/>
              <w:bottom w:val="single" w:sz="8" w:space="0" w:color="000000"/>
              <w:right w:val="nil"/>
            </w:tcBorders>
            <w:shd w:val="clear" w:color="auto" w:fill="auto"/>
            <w:vAlign w:val="center"/>
            <w:hideMark/>
          </w:tcPr>
          <w:p w:rsidR="002F1C54" w:rsidRPr="00B72876" w:rsidRDefault="002F1C54" w:rsidP="00D73F13">
            <w:pPr>
              <w:ind w:firstLineChars="100" w:firstLine="201"/>
              <w:rPr>
                <w:rFonts w:ascii="Garamond" w:hAnsi="Garamond" w:cs="Arial"/>
                <w:b/>
                <w:sz w:val="20"/>
                <w:szCs w:val="20"/>
              </w:rPr>
            </w:pPr>
            <w:r w:rsidRPr="00B72876">
              <w:rPr>
                <w:rFonts w:ascii="Garamond" w:hAnsi="Garamond" w:cs="Arial"/>
                <w:b/>
                <w:sz w:val="20"/>
                <w:szCs w:val="20"/>
              </w:rPr>
              <w:t xml:space="preserve">   </w:t>
            </w:r>
            <w:r>
              <w:rPr>
                <w:rFonts w:ascii="Garamond" w:hAnsi="Garamond" w:cs="Arial"/>
                <w:b/>
                <w:sz w:val="20"/>
                <w:szCs w:val="20"/>
              </w:rPr>
              <w:t xml:space="preserve"> </w:t>
            </w:r>
            <w:r w:rsidRPr="00B72876">
              <w:rPr>
                <w:rFonts w:ascii="Garamond" w:hAnsi="Garamond" w:cs="Arial"/>
                <w:b/>
                <w:sz w:val="20"/>
                <w:szCs w:val="20"/>
              </w:rPr>
              <w:t>2012</w:t>
            </w:r>
          </w:p>
        </w:tc>
        <w:tc>
          <w:tcPr>
            <w:tcW w:w="1412" w:type="dxa"/>
            <w:tcBorders>
              <w:top w:val="nil"/>
              <w:left w:val="nil"/>
              <w:bottom w:val="single" w:sz="8" w:space="0" w:color="000000"/>
              <w:right w:val="nil"/>
            </w:tcBorders>
            <w:shd w:val="clear" w:color="auto" w:fill="auto"/>
            <w:vAlign w:val="center"/>
            <w:hideMark/>
          </w:tcPr>
          <w:p w:rsidR="002F1C54" w:rsidRPr="00B72876" w:rsidRDefault="002F1C54" w:rsidP="00D73F13">
            <w:pPr>
              <w:jc w:val="center"/>
              <w:rPr>
                <w:rFonts w:ascii="Garamond" w:hAnsi="Garamond" w:cs="Arial"/>
                <w:b/>
                <w:bCs/>
                <w:sz w:val="20"/>
                <w:szCs w:val="20"/>
                <w:lang w:val="en-US" w:eastAsia="en-US"/>
              </w:rPr>
            </w:pPr>
            <w:r w:rsidRPr="00B72876">
              <w:rPr>
                <w:rFonts w:ascii="Garamond" w:hAnsi="Garamond" w:cs="Arial"/>
                <w:b/>
                <w:bCs/>
                <w:sz w:val="20"/>
                <w:szCs w:val="20"/>
                <w:lang w:val="en-US" w:eastAsia="en-US"/>
              </w:rPr>
              <w:t>Var.</w:t>
            </w:r>
            <w:r>
              <w:rPr>
                <w:rFonts w:ascii="Garamond" w:hAnsi="Garamond" w:cs="Arial"/>
                <w:b/>
                <w:bCs/>
                <w:sz w:val="20"/>
                <w:szCs w:val="20"/>
                <w:lang w:val="en-US" w:eastAsia="en-US"/>
              </w:rPr>
              <w:t xml:space="preserve">% </w:t>
            </w:r>
            <w:r w:rsidRPr="00B72876">
              <w:rPr>
                <w:rFonts w:ascii="Garamond" w:hAnsi="Garamond" w:cs="Arial"/>
                <w:b/>
                <w:bCs/>
                <w:sz w:val="20"/>
                <w:szCs w:val="20"/>
                <w:lang w:val="en-US" w:eastAsia="en-US"/>
              </w:rPr>
              <w:t>2009/2012</w:t>
            </w:r>
          </w:p>
        </w:tc>
      </w:tr>
      <w:tr w:rsidR="002F1C54" w:rsidRPr="004D28D2" w:rsidTr="00D73F13">
        <w:trPr>
          <w:trHeight w:val="6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23,379</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23,036</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-1.85</w:t>
            </w:r>
          </w:p>
        </w:tc>
      </w:tr>
      <w:tr w:rsidR="002F1C54" w:rsidRPr="004D28D2" w:rsidTr="00D73F13">
        <w:trPr>
          <w:trHeight w:val="131"/>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17,892</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18,068</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18,029</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17,728</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-0.92</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5,148</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5,074</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4,992</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4,858</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-5.63</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68,679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67,239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67,871</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68,132</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-0.80</w:t>
            </w:r>
          </w:p>
        </w:tc>
      </w:tr>
      <w:tr w:rsidR="002F1C54" w:rsidRPr="004D28D2" w:rsidTr="00D73F13">
        <w:trPr>
          <w:trHeight w:val="86"/>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33,909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33,746</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33,776</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33,071</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-2.47</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38,332</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38,230</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38,084</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37,434</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-2.34</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15,859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15,749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15,698</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15,478</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-2.40</w:t>
            </w:r>
          </w:p>
        </w:tc>
      </w:tr>
      <w:tr w:rsidR="002F1C54" w:rsidRPr="004D28D2" w:rsidTr="00D73F13">
        <w:trPr>
          <w:trHeight w:val="131"/>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10,239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10,195</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10,049</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9,744</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-4.83</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13,912</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13,731</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13,589</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13,248</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-4.77</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9,579</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9,558</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9,522</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9,366</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-2.22</w:t>
            </w:r>
          </w:p>
        </w:tc>
      </w:tr>
      <w:tr w:rsidR="002F1C54" w:rsidRPr="004D28D2" w:rsidTr="00D73F13">
        <w:trPr>
          <w:trHeight w:val="80"/>
          <w:jc w:val="center"/>
        </w:trPr>
        <w:tc>
          <w:tcPr>
            <w:tcW w:w="1860"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6,295</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6,256</w:t>
            </w:r>
          </w:p>
        </w:tc>
        <w:tc>
          <w:tcPr>
            <w:tcW w:w="142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6,160</w:t>
            </w:r>
          </w:p>
        </w:tc>
        <w:tc>
          <w:tcPr>
            <w:tcW w:w="1360" w:type="dxa"/>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5,912</w:t>
            </w:r>
          </w:p>
        </w:tc>
        <w:tc>
          <w:tcPr>
            <w:tcW w:w="141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-6.08</w:t>
            </w:r>
          </w:p>
        </w:tc>
      </w:tr>
      <w:tr w:rsidR="002F1C54" w:rsidRPr="004D28D2" w:rsidTr="00D73F13">
        <w:trPr>
          <w:trHeight w:val="80"/>
          <w:jc w:val="center"/>
        </w:trPr>
        <w:tc>
          <w:tcPr>
            <w:tcW w:w="1860"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21,987</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23,151</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23,231</w:t>
            </w:r>
          </w:p>
        </w:tc>
        <w:tc>
          <w:tcPr>
            <w:tcW w:w="136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23,111</w:t>
            </w:r>
          </w:p>
        </w:tc>
        <w:tc>
          <w:tcPr>
            <w:tcW w:w="141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5.11</w:t>
            </w:r>
          </w:p>
        </w:tc>
      </w:tr>
      <w:tr w:rsidR="002F1C54" w:rsidRPr="004D28D2" w:rsidTr="00D73F13">
        <w:trPr>
          <w:trHeight w:val="60"/>
          <w:jc w:val="center"/>
        </w:trPr>
        <w:tc>
          <w:tcPr>
            <w:tcW w:w="1860"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265,301</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264,467</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264,380</w:t>
            </w:r>
          </w:p>
        </w:tc>
        <w:tc>
          <w:tcPr>
            <w:tcW w:w="136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261,118</w:t>
            </w:r>
          </w:p>
        </w:tc>
        <w:tc>
          <w:tcPr>
            <w:tcW w:w="141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-1.58</w:t>
            </w:r>
          </w:p>
        </w:tc>
      </w:tr>
      <w:tr w:rsidR="002F1C54" w:rsidRPr="004D28D2" w:rsidTr="00D73F13">
        <w:trPr>
          <w:trHeight w:val="60"/>
          <w:jc w:val="center"/>
        </w:trPr>
        <w:tc>
          <w:tcPr>
            <w:tcW w:w="1860" w:type="dxa"/>
            <w:tcBorders>
              <w:top w:val="nil"/>
              <w:left w:val="nil"/>
              <w:bottom w:val="single" w:sz="8" w:space="0" w:color="000000"/>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1,465,949</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1,458,922</w:t>
            </w:r>
          </w:p>
        </w:tc>
        <w:tc>
          <w:tcPr>
            <w:tcW w:w="142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1,449,566</w:t>
            </w:r>
          </w:p>
        </w:tc>
        <w:tc>
          <w:tcPr>
            <w:tcW w:w="1360" w:type="dxa"/>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1,426,995</w:t>
            </w:r>
          </w:p>
        </w:tc>
        <w:tc>
          <w:tcPr>
            <w:tcW w:w="141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-2.66</w:t>
            </w:r>
          </w:p>
        </w:tc>
      </w:tr>
      <w:tr w:rsidR="002F1C54" w:rsidRPr="004D28D2" w:rsidTr="00D73F13">
        <w:trPr>
          <w:trHeight w:val="60"/>
          <w:jc w:val="center"/>
        </w:trPr>
        <w:tc>
          <w:tcPr>
            <w:tcW w:w="310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12"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r>
        <w:t xml:space="preserve">presso Lodi e del -5,63% presso Sondrio). Una provincia a mostrare un trend opposto é quella di Monza con una variazione percentuale in crescita del 5,11%. Il dato di maggiore interesse nel </w:t>
      </w:r>
      <w:r>
        <w:lastRenderedPageBreak/>
        <w:t xml:space="preserve">nostro studio, date le implicazioni rilevate dalla letteratura, concerne la diffusione di tali ditte all’interno del sistema imprenditoriale locale. Come si può osservare, rapportando il dato delle ditte artigiane attive al numero di imprese attive nel territorio, l’incidenza delle attività artigiane risulta oscillare tra il 22,6% in provincia di Milano e il 43,2% press0 Lodi. Anche in questo caso, rispetto </w:t>
      </w:r>
    </w:p>
    <w:p w:rsidR="002F1C54" w:rsidRDefault="002F1C54" w:rsidP="002F1C54">
      <w:pPr>
        <w:spacing w:line="360" w:lineRule="auto"/>
        <w:jc w:val="both"/>
      </w:pPr>
    </w:p>
    <w:p w:rsidR="002F1C54" w:rsidRPr="0082177E" w:rsidRDefault="002F1C54" w:rsidP="002F1C54">
      <w:pPr>
        <w:jc w:val="both"/>
        <w:rPr>
          <w:rFonts w:ascii="Garamond" w:hAnsi="Garamond"/>
          <w:b/>
        </w:rPr>
      </w:pPr>
      <w:r>
        <w:t xml:space="preserve">      </w:t>
      </w:r>
      <w:r w:rsidRPr="0082177E">
        <w:rPr>
          <w:rFonts w:ascii="Garamond" w:hAnsi="Garamond"/>
          <w:b/>
          <w:sz w:val="20"/>
          <w:szCs w:val="20"/>
        </w:rPr>
        <w:t>Diffusione delle ditte art</w:t>
      </w:r>
      <w:r>
        <w:rPr>
          <w:rFonts w:ascii="Garamond" w:hAnsi="Garamond"/>
          <w:b/>
          <w:sz w:val="20"/>
          <w:szCs w:val="20"/>
        </w:rPr>
        <w:t>i</w:t>
      </w:r>
      <w:r w:rsidRPr="0082177E">
        <w:rPr>
          <w:rFonts w:ascii="Garamond" w:hAnsi="Garamond"/>
          <w:b/>
          <w:sz w:val="20"/>
          <w:szCs w:val="20"/>
        </w:rPr>
        <w:t>giane sul territorio. 2010</w:t>
      </w:r>
      <w:r w:rsidRPr="0082177E">
        <w:rPr>
          <w:rFonts w:ascii="Garamond" w:hAnsi="Garamond"/>
          <w:b/>
        </w:rPr>
        <w:t xml:space="preserve">               </w:t>
      </w:r>
    </w:p>
    <w:tbl>
      <w:tblPr>
        <w:tblW w:w="9115" w:type="dxa"/>
        <w:jc w:val="center"/>
        <w:tblLook w:val="04A0"/>
      </w:tblPr>
      <w:tblGrid>
        <w:gridCol w:w="2068"/>
        <w:gridCol w:w="1032"/>
        <w:gridCol w:w="948"/>
        <w:gridCol w:w="472"/>
        <w:gridCol w:w="1113"/>
        <w:gridCol w:w="307"/>
        <w:gridCol w:w="1278"/>
        <w:gridCol w:w="472"/>
        <w:gridCol w:w="1425"/>
      </w:tblGrid>
      <w:tr w:rsidR="002F1C54" w:rsidRPr="0082177E" w:rsidTr="00D73F13">
        <w:trPr>
          <w:trHeight w:val="210"/>
          <w:jc w:val="center"/>
        </w:trPr>
        <w:tc>
          <w:tcPr>
            <w:tcW w:w="2068" w:type="dxa"/>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 </w:t>
            </w:r>
          </w:p>
        </w:tc>
        <w:tc>
          <w:tcPr>
            <w:tcW w:w="1980" w:type="dxa"/>
            <w:gridSpan w:val="2"/>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ind w:firstLineChars="100" w:firstLine="201"/>
              <w:rPr>
                <w:rFonts w:ascii="Garamond" w:hAnsi="Garamond" w:cs="Arial"/>
                <w:b/>
                <w:sz w:val="20"/>
                <w:szCs w:val="20"/>
              </w:rPr>
            </w:pPr>
            <w:r w:rsidRPr="0082177E">
              <w:rPr>
                <w:rFonts w:ascii="Garamond" w:hAnsi="Garamond" w:cs="Arial"/>
                <w:b/>
                <w:sz w:val="20"/>
                <w:szCs w:val="20"/>
              </w:rPr>
              <w:t xml:space="preserve">  Ditte artigiane</w:t>
            </w:r>
            <w:r>
              <w:rPr>
                <w:rFonts w:ascii="Garamond" w:hAnsi="Garamond" w:cs="Arial"/>
                <w:b/>
                <w:sz w:val="20"/>
                <w:szCs w:val="20"/>
              </w:rPr>
              <w:t xml:space="preserve">. </w:t>
            </w:r>
          </w:p>
        </w:tc>
        <w:tc>
          <w:tcPr>
            <w:tcW w:w="1585" w:type="dxa"/>
            <w:gridSpan w:val="2"/>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jc w:val="center"/>
              <w:rPr>
                <w:rFonts w:ascii="Garamond" w:hAnsi="Garamond" w:cs="Arial"/>
                <w:b/>
                <w:sz w:val="20"/>
                <w:szCs w:val="20"/>
              </w:rPr>
            </w:pPr>
            <w:r w:rsidRPr="0082177E">
              <w:rPr>
                <w:rFonts w:ascii="Garamond" w:hAnsi="Garamond" w:cs="Arial"/>
                <w:b/>
                <w:sz w:val="20"/>
                <w:szCs w:val="20"/>
              </w:rPr>
              <w:t>Imprese</w:t>
            </w:r>
          </w:p>
        </w:tc>
        <w:tc>
          <w:tcPr>
            <w:tcW w:w="1585" w:type="dxa"/>
            <w:gridSpan w:val="2"/>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ind w:firstLineChars="100" w:firstLine="201"/>
              <w:rPr>
                <w:rFonts w:ascii="Garamond" w:hAnsi="Garamond" w:cs="Arial"/>
                <w:b/>
                <w:sz w:val="20"/>
                <w:szCs w:val="20"/>
              </w:rPr>
            </w:pPr>
            <w:r w:rsidRPr="0082177E">
              <w:rPr>
                <w:rFonts w:ascii="Garamond" w:hAnsi="Garamond" w:cs="Arial"/>
                <w:b/>
                <w:sz w:val="20"/>
                <w:szCs w:val="20"/>
              </w:rPr>
              <w:t xml:space="preserve"> Diffusione</w:t>
            </w:r>
          </w:p>
        </w:tc>
        <w:tc>
          <w:tcPr>
            <w:tcW w:w="1897" w:type="dxa"/>
            <w:gridSpan w:val="2"/>
            <w:tcBorders>
              <w:top w:val="single" w:sz="4" w:space="0" w:color="auto"/>
              <w:left w:val="nil"/>
              <w:bottom w:val="single" w:sz="4" w:space="0" w:color="auto"/>
              <w:right w:val="nil"/>
            </w:tcBorders>
          </w:tcPr>
          <w:p w:rsidR="002F1C54" w:rsidRPr="0082177E" w:rsidRDefault="002F1C54" w:rsidP="00D73F13">
            <w:pPr>
              <w:ind w:firstLineChars="100" w:firstLine="201"/>
              <w:rPr>
                <w:rFonts w:ascii="Garamond" w:hAnsi="Garamond" w:cs="Arial"/>
                <w:b/>
                <w:sz w:val="20"/>
                <w:szCs w:val="20"/>
              </w:rPr>
            </w:pPr>
            <w:r w:rsidRPr="0082177E">
              <w:rPr>
                <w:rFonts w:ascii="Garamond" w:hAnsi="Garamond" w:cs="Arial"/>
                <w:b/>
                <w:sz w:val="20"/>
                <w:szCs w:val="20"/>
              </w:rPr>
              <w:t>Serie Territoriale</w:t>
            </w:r>
          </w:p>
        </w:tc>
      </w:tr>
      <w:tr w:rsidR="002F1C54" w:rsidRPr="0082177E" w:rsidTr="00D73F13">
        <w:trPr>
          <w:trHeight w:val="60"/>
          <w:jc w:val="center"/>
        </w:trPr>
        <w:tc>
          <w:tcPr>
            <w:tcW w:w="2068" w:type="dxa"/>
            <w:tcBorders>
              <w:top w:val="single" w:sz="4" w:space="0" w:color="auto"/>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Varese</w:t>
            </w:r>
          </w:p>
        </w:tc>
        <w:tc>
          <w:tcPr>
            <w:tcW w:w="1980" w:type="dxa"/>
            <w:gridSpan w:val="2"/>
            <w:tcBorders>
              <w:top w:val="single" w:sz="4" w:space="0" w:color="auto"/>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23,470</w:t>
            </w:r>
          </w:p>
        </w:tc>
        <w:tc>
          <w:tcPr>
            <w:tcW w:w="1585" w:type="dxa"/>
            <w:gridSpan w:val="2"/>
            <w:tcBorders>
              <w:top w:val="single" w:sz="4" w:space="0" w:color="auto"/>
              <w:left w:val="nil"/>
              <w:bottom w:val="nil"/>
              <w:right w:val="nil"/>
            </w:tcBorders>
            <w:shd w:val="clear" w:color="auto" w:fill="auto"/>
            <w:noWrap/>
            <w:hideMark/>
          </w:tcPr>
          <w:p w:rsidR="002F1C54" w:rsidRPr="0082177E" w:rsidRDefault="002F1C54" w:rsidP="00D73F13">
            <w:pPr>
              <w:jc w:val="center"/>
              <w:rPr>
                <w:rFonts w:ascii="Garamond" w:hAnsi="Garamond" w:cs="Arial"/>
                <w:sz w:val="20"/>
                <w:szCs w:val="20"/>
              </w:rPr>
            </w:pPr>
            <w:r w:rsidRPr="0082177E">
              <w:rPr>
                <w:rFonts w:ascii="Garamond" w:hAnsi="Garamond" w:cs="Arial"/>
                <w:sz w:val="20"/>
                <w:szCs w:val="20"/>
              </w:rPr>
              <w:t>66678</w:t>
            </w:r>
          </w:p>
        </w:tc>
        <w:tc>
          <w:tcPr>
            <w:tcW w:w="1585" w:type="dxa"/>
            <w:gridSpan w:val="2"/>
            <w:tcBorders>
              <w:top w:val="single" w:sz="4" w:space="0" w:color="auto"/>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35.2</w:t>
            </w:r>
          </w:p>
        </w:tc>
        <w:tc>
          <w:tcPr>
            <w:tcW w:w="1897" w:type="dxa"/>
            <w:gridSpan w:val="2"/>
            <w:tcBorders>
              <w:top w:val="single" w:sz="4" w:space="0" w:color="auto"/>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9.2</w:t>
            </w:r>
          </w:p>
        </w:tc>
      </w:tr>
      <w:tr w:rsidR="002F1C54" w:rsidRPr="004D28D2" w:rsidTr="00D73F13">
        <w:trPr>
          <w:trHeight w:val="131"/>
          <w:jc w:val="center"/>
        </w:trPr>
        <w:tc>
          <w:tcPr>
            <w:tcW w:w="2068"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Como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18,068</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46530</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38.8</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20.5</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Sondrio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5,074</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13709</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37.0</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14.8</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Milano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67,239</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297006</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22.6</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-29.8</w:t>
            </w:r>
          </w:p>
        </w:tc>
      </w:tr>
      <w:tr w:rsidR="002F1C54" w:rsidRPr="004D28D2" w:rsidTr="00D73F13">
        <w:trPr>
          <w:trHeight w:val="86"/>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33,746</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86868</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38.8</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20.5</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38,230</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104470</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36.6</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13.5</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15,749</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39265</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40.1</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24.4</w:t>
            </w:r>
          </w:p>
        </w:tc>
      </w:tr>
      <w:tr w:rsidR="002F1C54" w:rsidRPr="004D28D2" w:rsidTr="00D73F13">
        <w:trPr>
          <w:trHeight w:val="131"/>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10,195</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25380</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40.2</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24.6</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13,731</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32186</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42.7</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32.3</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9,558</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25965</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36.8</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14.2</w:t>
            </w:r>
          </w:p>
        </w:tc>
      </w:tr>
      <w:tr w:rsidR="002F1C54" w:rsidRPr="004D28D2" w:rsidTr="00D73F13">
        <w:trPr>
          <w:trHeight w:val="80"/>
          <w:jc w:val="center"/>
        </w:trPr>
        <w:tc>
          <w:tcPr>
            <w:tcW w:w="2068"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980" w:type="dxa"/>
            <w:gridSpan w:val="2"/>
            <w:tcBorders>
              <w:top w:val="nil"/>
              <w:left w:val="nil"/>
              <w:bottom w:val="nil"/>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6,256</w:t>
            </w:r>
          </w:p>
        </w:tc>
        <w:tc>
          <w:tcPr>
            <w:tcW w:w="1585"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14478</w:t>
            </w:r>
          </w:p>
        </w:tc>
        <w:tc>
          <w:tcPr>
            <w:tcW w:w="1585" w:type="dxa"/>
            <w:gridSpan w:val="2"/>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43.2</w:t>
            </w:r>
          </w:p>
        </w:tc>
        <w:tc>
          <w:tcPr>
            <w:tcW w:w="1897"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34.1</w:t>
            </w:r>
          </w:p>
        </w:tc>
      </w:tr>
      <w:tr w:rsidR="002F1C54" w:rsidRPr="004D28D2" w:rsidTr="00D73F13">
        <w:trPr>
          <w:trHeight w:val="80"/>
          <w:jc w:val="center"/>
        </w:trPr>
        <w:tc>
          <w:tcPr>
            <w:tcW w:w="2068"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980" w:type="dxa"/>
            <w:gridSpan w:val="2"/>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23,151</w:t>
            </w:r>
          </w:p>
        </w:tc>
        <w:tc>
          <w:tcPr>
            <w:tcW w:w="1585"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67913</w:t>
            </w:r>
          </w:p>
        </w:tc>
        <w:tc>
          <w:tcPr>
            <w:tcW w:w="1585" w:type="dxa"/>
            <w:gridSpan w:val="2"/>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34.1</w:t>
            </w:r>
          </w:p>
        </w:tc>
        <w:tc>
          <w:tcPr>
            <w:tcW w:w="1897" w:type="dxa"/>
            <w:gridSpan w:val="2"/>
            <w:tcBorders>
              <w:top w:val="nil"/>
              <w:left w:val="nil"/>
              <w:bottom w:val="single" w:sz="8" w:space="0" w:color="auto"/>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5.8</w:t>
            </w:r>
          </w:p>
        </w:tc>
      </w:tr>
      <w:tr w:rsidR="002F1C54" w:rsidRPr="004D28D2" w:rsidTr="00D73F13">
        <w:trPr>
          <w:trHeight w:val="60"/>
          <w:jc w:val="center"/>
        </w:trPr>
        <w:tc>
          <w:tcPr>
            <w:tcW w:w="2068"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980" w:type="dxa"/>
            <w:gridSpan w:val="2"/>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264,467</w:t>
            </w:r>
          </w:p>
        </w:tc>
        <w:tc>
          <w:tcPr>
            <w:tcW w:w="1585"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820448</w:t>
            </w:r>
          </w:p>
        </w:tc>
        <w:tc>
          <w:tcPr>
            <w:tcW w:w="1585" w:type="dxa"/>
            <w:gridSpan w:val="2"/>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32.2</w:t>
            </w:r>
          </w:p>
        </w:tc>
        <w:tc>
          <w:tcPr>
            <w:tcW w:w="1897" w:type="dxa"/>
            <w:gridSpan w:val="2"/>
            <w:tcBorders>
              <w:top w:val="nil"/>
              <w:left w:val="nil"/>
              <w:bottom w:val="single" w:sz="8" w:space="0" w:color="auto"/>
              <w:right w:val="nil"/>
            </w:tcBorders>
          </w:tcPr>
          <w:p w:rsidR="002F1C54" w:rsidRDefault="002F1C54" w:rsidP="00D73F13">
            <w:pPr>
              <w:jc w:val="center"/>
              <w:rPr>
                <w:rFonts w:ascii="Garamond" w:hAnsi="Garamond" w:cs="Arial"/>
                <w:sz w:val="20"/>
                <w:szCs w:val="20"/>
              </w:rPr>
            </w:pPr>
            <w:r>
              <w:rPr>
                <w:rFonts w:ascii="Garamond" w:hAnsi="Garamond" w:cs="Arial"/>
                <w:sz w:val="20"/>
                <w:szCs w:val="20"/>
              </w:rPr>
              <w:t>100</w:t>
            </w:r>
          </w:p>
        </w:tc>
      </w:tr>
      <w:tr w:rsidR="002F1C54" w:rsidRPr="004D28D2" w:rsidTr="00D73F13">
        <w:trPr>
          <w:trHeight w:val="60"/>
          <w:jc w:val="center"/>
        </w:trPr>
        <w:tc>
          <w:tcPr>
            <w:tcW w:w="2068" w:type="dxa"/>
            <w:tcBorders>
              <w:top w:val="nil"/>
              <w:left w:val="nil"/>
              <w:bottom w:val="single" w:sz="8" w:space="0" w:color="000000"/>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980" w:type="dxa"/>
            <w:gridSpan w:val="2"/>
            <w:tcBorders>
              <w:top w:val="nil"/>
              <w:left w:val="nil"/>
              <w:bottom w:val="single" w:sz="8" w:space="0" w:color="auto"/>
              <w:right w:val="nil"/>
            </w:tcBorders>
            <w:shd w:val="clear" w:color="auto" w:fill="auto"/>
            <w:noWrap/>
            <w:vAlign w:val="center"/>
            <w:hideMark/>
          </w:tcPr>
          <w:p w:rsidR="002F1C54" w:rsidRDefault="002F1C54" w:rsidP="00D73F13">
            <w:pPr>
              <w:jc w:val="center"/>
              <w:rPr>
                <w:rFonts w:ascii="Garamond" w:hAnsi="Garamond" w:cs="Arial"/>
                <w:sz w:val="20"/>
                <w:szCs w:val="20"/>
              </w:rPr>
            </w:pPr>
            <w:r>
              <w:rPr>
                <w:rFonts w:ascii="Garamond" w:hAnsi="Garamond" w:cs="Arial"/>
                <w:sz w:val="20"/>
                <w:szCs w:val="20"/>
              </w:rPr>
              <w:t>1,458,922</w:t>
            </w:r>
          </w:p>
        </w:tc>
        <w:tc>
          <w:tcPr>
            <w:tcW w:w="1585"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4460891</w:t>
            </w:r>
          </w:p>
        </w:tc>
        <w:tc>
          <w:tcPr>
            <w:tcW w:w="1585" w:type="dxa"/>
            <w:gridSpan w:val="2"/>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32.7</w:t>
            </w:r>
          </w:p>
        </w:tc>
        <w:tc>
          <w:tcPr>
            <w:tcW w:w="1897" w:type="dxa"/>
            <w:gridSpan w:val="2"/>
            <w:tcBorders>
              <w:top w:val="nil"/>
              <w:left w:val="nil"/>
              <w:bottom w:val="single" w:sz="8" w:space="0" w:color="auto"/>
              <w:right w:val="nil"/>
            </w:tcBorders>
          </w:tcPr>
          <w:p w:rsidR="002F1C54" w:rsidRDefault="002F1C54" w:rsidP="00D73F13">
            <w:pPr>
              <w:jc w:val="center"/>
              <w:rPr>
                <w:rFonts w:ascii="Garamond" w:hAnsi="Garamond" w:cs="Arial"/>
                <w:sz w:val="20"/>
                <w:szCs w:val="20"/>
              </w:rPr>
            </w:pPr>
            <w:r>
              <w:rPr>
                <w:rFonts w:ascii="Garamond" w:hAnsi="Garamond" w:cs="Arial"/>
                <w:sz w:val="20"/>
                <w:szCs w:val="20"/>
              </w:rPr>
              <w:t>-</w:t>
            </w:r>
          </w:p>
        </w:tc>
      </w:tr>
      <w:tr w:rsidR="002F1C54" w:rsidRPr="004D28D2" w:rsidTr="00D73F13">
        <w:trPr>
          <w:gridAfter w:val="1"/>
          <w:wAfter w:w="1425" w:type="dxa"/>
          <w:trHeight w:val="60"/>
          <w:jc w:val="center"/>
        </w:trPr>
        <w:tc>
          <w:tcPr>
            <w:tcW w:w="310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2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750" w:type="dxa"/>
            <w:gridSpan w:val="2"/>
            <w:tcBorders>
              <w:top w:val="nil"/>
              <w:left w:val="nil"/>
              <w:bottom w:val="nil"/>
              <w:right w:val="nil"/>
            </w:tcBorders>
          </w:tcPr>
          <w:p w:rsidR="002F1C54" w:rsidRPr="004D28D2"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r>
        <w:t>alla media regionale, é solamente la provincia di Milano a mostrare un dato contenuto (-29,8%). All’interno di tutte le altre, il range oscilla tra il +5,8% presso Monza e il +32,3% e il +34,1% presso Mantova e Lodi.</w:t>
      </w:r>
    </w:p>
    <w:p w:rsidR="002F1C54" w:rsidRDefault="002F1C54" w:rsidP="002F1C54">
      <w:pPr>
        <w:spacing w:line="360" w:lineRule="auto"/>
        <w:jc w:val="both"/>
      </w:pPr>
    </w:p>
    <w:p w:rsidR="002F1C54" w:rsidRDefault="002F1C54" w:rsidP="002F1C54">
      <w:pPr>
        <w:jc w:val="center"/>
      </w:pPr>
      <w:r w:rsidRPr="0082177E">
        <w:rPr>
          <w:noProof/>
        </w:rPr>
        <w:drawing>
          <wp:inline distT="0" distB="0" distL="0" distR="0">
            <wp:extent cx="5715000" cy="324802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1C54" w:rsidRDefault="002F1C54" w:rsidP="002F1C54">
      <w: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2F1C54" w:rsidRDefault="002F1C54" w:rsidP="002F1C54">
      <w:pPr>
        <w:spacing w:line="360" w:lineRule="auto"/>
        <w:jc w:val="both"/>
      </w:pPr>
    </w:p>
    <w:p w:rsidR="002F1C54" w:rsidRDefault="002F1C54" w:rsidP="002F1C54">
      <w:pPr>
        <w:spacing w:line="360" w:lineRule="auto"/>
        <w:jc w:val="both"/>
      </w:pPr>
      <w:r>
        <w:lastRenderedPageBreak/>
        <w:t>Molto più eterogeneo invece il dato relativo alla presenza di piccoli esercizi commerciali a livello di quartiere. In questo caso, per avere un indice del grado di diffusione al livello territoriale, abbiamo rapportato il dato al numero di abitanti. Come si può osservare all’interno della terza colonna, la diffusione di esercizi di vicinato oscilla tra i 7,7 ogni 1000 abitanti all’intero della provincia di Monza e Brianza e il 13,3% registrato all’interno della realtà di Sondrio. Valori superiori alla media di osservano anche all’interno delle province di Brescia (+10,3%), Pavia (+10,1%) e Mantova (+10%). Un’idea migliore delle differenze a livello territoriale si può rilevare dalla figura successiva</w:t>
      </w:r>
      <w:r w:rsidRPr="00AB4746">
        <w:t xml:space="preserve"> </w:t>
      </w:r>
      <w:r>
        <w:t>la quale mostra la netta divisione a livello di Lombardia tra la realtà di Sondrio da un lato (+46,4%), Brescia, Pavia e Mantova nel mezzo (+13,6%, +10,5% e +9,8%) e le rimanenti realtà dall’altro.</w:t>
      </w:r>
    </w:p>
    <w:p w:rsidR="002F1C54" w:rsidRDefault="002F1C54" w:rsidP="002F1C54">
      <w:pPr>
        <w:spacing w:line="360" w:lineRule="auto"/>
        <w:jc w:val="both"/>
      </w:pPr>
    </w:p>
    <w:p w:rsidR="002F1C54" w:rsidRDefault="002F1C54" w:rsidP="002F1C54">
      <w:pPr>
        <w:jc w:val="both"/>
      </w:pPr>
      <w:r>
        <w:rPr>
          <w:rFonts w:ascii="Garamond" w:hAnsi="Garamond"/>
          <w:b/>
          <w:sz w:val="20"/>
          <w:szCs w:val="20"/>
        </w:rPr>
        <w:t xml:space="preserve">         </w:t>
      </w:r>
      <w:r w:rsidRPr="0082177E">
        <w:rPr>
          <w:rFonts w:ascii="Garamond" w:hAnsi="Garamond"/>
          <w:b/>
          <w:sz w:val="20"/>
          <w:szCs w:val="20"/>
        </w:rPr>
        <w:t xml:space="preserve">Diffusione </w:t>
      </w:r>
      <w:r>
        <w:rPr>
          <w:rFonts w:ascii="Garamond" w:hAnsi="Garamond"/>
          <w:b/>
          <w:sz w:val="20"/>
          <w:szCs w:val="20"/>
        </w:rPr>
        <w:t>degli esercizi commerciali al dettaglio</w:t>
      </w:r>
      <w:r w:rsidRPr="0082177E">
        <w:rPr>
          <w:rFonts w:ascii="Garamond" w:hAnsi="Garamond"/>
          <w:b/>
          <w:sz w:val="20"/>
          <w:szCs w:val="20"/>
        </w:rPr>
        <w:t>. 2010</w:t>
      </w:r>
      <w:r w:rsidRPr="0082177E">
        <w:rPr>
          <w:rFonts w:ascii="Garamond" w:hAnsi="Garamond"/>
          <w:b/>
        </w:rPr>
        <w:t xml:space="preserve">               </w:t>
      </w:r>
    </w:p>
    <w:tbl>
      <w:tblPr>
        <w:tblW w:w="8847" w:type="dxa"/>
        <w:jc w:val="center"/>
        <w:tblLook w:val="04A0"/>
      </w:tblPr>
      <w:tblGrid>
        <w:gridCol w:w="1655"/>
        <w:gridCol w:w="1445"/>
        <w:gridCol w:w="58"/>
        <w:gridCol w:w="1265"/>
        <w:gridCol w:w="115"/>
        <w:gridCol w:w="1420"/>
        <w:gridCol w:w="448"/>
        <w:gridCol w:w="1284"/>
        <w:gridCol w:w="1157"/>
      </w:tblGrid>
      <w:tr w:rsidR="002F1C54" w:rsidRPr="0082177E" w:rsidTr="00D73F13">
        <w:trPr>
          <w:trHeight w:val="210"/>
          <w:jc w:val="center"/>
        </w:trPr>
        <w:tc>
          <w:tcPr>
            <w:tcW w:w="1655" w:type="dxa"/>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 </w:t>
            </w:r>
          </w:p>
        </w:tc>
        <w:tc>
          <w:tcPr>
            <w:tcW w:w="1503" w:type="dxa"/>
            <w:gridSpan w:val="2"/>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ind w:hanging="2"/>
              <w:jc w:val="center"/>
              <w:rPr>
                <w:rFonts w:ascii="Garamond" w:hAnsi="Garamond" w:cs="Arial"/>
                <w:b/>
                <w:sz w:val="20"/>
                <w:szCs w:val="20"/>
              </w:rPr>
            </w:pPr>
            <w:r>
              <w:rPr>
                <w:rFonts w:ascii="Garamond" w:hAnsi="Garamond" w:cs="Arial"/>
                <w:b/>
                <w:sz w:val="20"/>
                <w:szCs w:val="20"/>
              </w:rPr>
              <w:t xml:space="preserve">Esercizi </w:t>
            </w:r>
          </w:p>
        </w:tc>
        <w:tc>
          <w:tcPr>
            <w:tcW w:w="1265" w:type="dxa"/>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jc w:val="center"/>
              <w:rPr>
                <w:rFonts w:ascii="Garamond" w:hAnsi="Garamond" w:cs="Arial"/>
                <w:b/>
                <w:sz w:val="20"/>
                <w:szCs w:val="20"/>
              </w:rPr>
            </w:pPr>
            <w:r>
              <w:rPr>
                <w:rFonts w:ascii="Garamond" w:hAnsi="Garamond" w:cs="Arial"/>
                <w:b/>
                <w:sz w:val="20"/>
                <w:szCs w:val="20"/>
              </w:rPr>
              <w:t>Popolazione</w:t>
            </w:r>
          </w:p>
        </w:tc>
        <w:tc>
          <w:tcPr>
            <w:tcW w:w="1983" w:type="dxa"/>
            <w:gridSpan w:val="3"/>
            <w:tcBorders>
              <w:top w:val="single" w:sz="4" w:space="0" w:color="auto"/>
              <w:left w:val="nil"/>
              <w:bottom w:val="single" w:sz="4" w:space="0" w:color="auto"/>
              <w:right w:val="nil"/>
            </w:tcBorders>
            <w:shd w:val="clear" w:color="auto" w:fill="auto"/>
            <w:vAlign w:val="center"/>
            <w:hideMark/>
          </w:tcPr>
          <w:p w:rsidR="002F1C54" w:rsidRPr="0082177E" w:rsidRDefault="002F1C54" w:rsidP="00D73F13">
            <w:pPr>
              <w:ind w:firstLine="1"/>
              <w:jc w:val="center"/>
              <w:rPr>
                <w:rFonts w:ascii="Garamond" w:hAnsi="Garamond" w:cs="Arial"/>
                <w:b/>
                <w:sz w:val="20"/>
                <w:szCs w:val="20"/>
              </w:rPr>
            </w:pPr>
            <w:r>
              <w:rPr>
                <w:rFonts w:ascii="Garamond" w:hAnsi="Garamond" w:cs="Arial"/>
                <w:b/>
                <w:sz w:val="20"/>
                <w:szCs w:val="20"/>
              </w:rPr>
              <w:t>Esercizi per 1.000 ab</w:t>
            </w:r>
          </w:p>
        </w:tc>
        <w:tc>
          <w:tcPr>
            <w:tcW w:w="2441" w:type="dxa"/>
            <w:gridSpan w:val="2"/>
            <w:tcBorders>
              <w:top w:val="single" w:sz="4" w:space="0" w:color="auto"/>
              <w:left w:val="nil"/>
              <w:bottom w:val="single" w:sz="4" w:space="0" w:color="auto"/>
              <w:right w:val="nil"/>
            </w:tcBorders>
            <w:vAlign w:val="center"/>
          </w:tcPr>
          <w:p w:rsidR="002F1C54" w:rsidRPr="0082177E" w:rsidRDefault="002F1C54" w:rsidP="00D73F13">
            <w:pPr>
              <w:jc w:val="center"/>
              <w:rPr>
                <w:rFonts w:ascii="Garamond" w:hAnsi="Garamond" w:cs="Arial"/>
                <w:b/>
                <w:sz w:val="20"/>
                <w:szCs w:val="20"/>
              </w:rPr>
            </w:pPr>
            <w:r>
              <w:rPr>
                <w:rFonts w:ascii="Garamond" w:hAnsi="Garamond" w:cs="Arial"/>
                <w:b/>
                <w:sz w:val="20"/>
                <w:szCs w:val="20"/>
              </w:rPr>
              <w:t>Var.% sul dato regionale</w:t>
            </w:r>
          </w:p>
        </w:tc>
      </w:tr>
      <w:tr w:rsidR="002F1C54" w:rsidRPr="0082177E" w:rsidTr="00D73F13">
        <w:trPr>
          <w:trHeight w:val="60"/>
          <w:jc w:val="center"/>
        </w:trPr>
        <w:tc>
          <w:tcPr>
            <w:tcW w:w="1655" w:type="dxa"/>
            <w:tcBorders>
              <w:top w:val="single" w:sz="4" w:space="0" w:color="auto"/>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Varese</w:t>
            </w:r>
          </w:p>
        </w:tc>
        <w:tc>
          <w:tcPr>
            <w:tcW w:w="1503" w:type="dxa"/>
            <w:gridSpan w:val="2"/>
            <w:tcBorders>
              <w:top w:val="single" w:sz="4" w:space="0" w:color="auto"/>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7.350</w:t>
            </w:r>
          </w:p>
        </w:tc>
        <w:tc>
          <w:tcPr>
            <w:tcW w:w="1265" w:type="dxa"/>
            <w:tcBorders>
              <w:top w:val="single" w:sz="4" w:space="0" w:color="auto"/>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883.285</w:t>
            </w:r>
          </w:p>
        </w:tc>
        <w:tc>
          <w:tcPr>
            <w:tcW w:w="1983" w:type="dxa"/>
            <w:gridSpan w:val="3"/>
            <w:tcBorders>
              <w:top w:val="single" w:sz="4" w:space="0" w:color="auto"/>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8.3</w:t>
            </w:r>
          </w:p>
        </w:tc>
        <w:tc>
          <w:tcPr>
            <w:tcW w:w="2441" w:type="dxa"/>
            <w:gridSpan w:val="2"/>
            <w:tcBorders>
              <w:top w:val="single" w:sz="4" w:space="0" w:color="auto"/>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-8.6</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Como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4.785</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594.988</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8.0</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-11.6</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Sondrio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2.440</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183.169</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13.3</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46.4</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82177E" w:rsidRDefault="002F1C54" w:rsidP="00D73F13">
            <w:pPr>
              <w:rPr>
                <w:rFonts w:ascii="Garamond" w:hAnsi="Garamond" w:cs="Arial"/>
                <w:b/>
                <w:bCs/>
                <w:sz w:val="20"/>
                <w:szCs w:val="20"/>
                <w:lang w:eastAsia="en-US"/>
              </w:rPr>
            </w:pPr>
            <w:r w:rsidRPr="0082177E">
              <w:rPr>
                <w:rFonts w:ascii="Garamond" w:hAnsi="Garamond" w:cs="Arial"/>
                <w:b/>
                <w:bCs/>
                <w:sz w:val="20"/>
                <w:szCs w:val="20"/>
                <w:lang w:eastAsia="en-US"/>
              </w:rPr>
              <w:t>Milano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28.745</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3.156.694</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9.1</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0.1</w:t>
            </w:r>
          </w:p>
        </w:tc>
      </w:tr>
      <w:tr w:rsidR="002F1C54" w:rsidRPr="004D28D2" w:rsidTr="00D73F13">
        <w:trPr>
          <w:trHeight w:val="86"/>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9.776</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1.098.740</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8.9</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-2.2</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12.983</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1.256.025</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10.3</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13.6</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5.513</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548.307</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10.1</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10.5</w:t>
            </w:r>
          </w:p>
        </w:tc>
      </w:tr>
      <w:tr w:rsidR="002F1C54" w:rsidRPr="004D28D2" w:rsidTr="00D73F13">
        <w:trPr>
          <w:trHeight w:val="131"/>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3.343</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363.606</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9.2</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1.0</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4.150</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415.442</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10.0</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9.8</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2.745</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340.167</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8.1</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-11.3</w:t>
            </w:r>
          </w:p>
        </w:tc>
      </w:tr>
      <w:tr w:rsidR="002F1C54" w:rsidRPr="004D28D2" w:rsidTr="00D73F13">
        <w:trPr>
          <w:trHeight w:val="80"/>
          <w:jc w:val="center"/>
        </w:trPr>
        <w:tc>
          <w:tcPr>
            <w:tcW w:w="1655" w:type="dxa"/>
            <w:tcBorders>
              <w:top w:val="nil"/>
              <w:left w:val="nil"/>
              <w:bottom w:val="nil"/>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503" w:type="dxa"/>
            <w:gridSpan w:val="2"/>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1.882</w:t>
            </w:r>
          </w:p>
        </w:tc>
        <w:tc>
          <w:tcPr>
            <w:tcW w:w="1265" w:type="dxa"/>
            <w:tcBorders>
              <w:top w:val="nil"/>
              <w:left w:val="nil"/>
              <w:bottom w:val="nil"/>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227.655</w:t>
            </w:r>
          </w:p>
        </w:tc>
        <w:tc>
          <w:tcPr>
            <w:tcW w:w="1983" w:type="dxa"/>
            <w:gridSpan w:val="3"/>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8.3</w:t>
            </w:r>
          </w:p>
        </w:tc>
        <w:tc>
          <w:tcPr>
            <w:tcW w:w="2441" w:type="dxa"/>
            <w:gridSpan w:val="2"/>
            <w:tcBorders>
              <w:top w:val="nil"/>
              <w:left w:val="nil"/>
              <w:bottom w:val="nil"/>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-9.2</w:t>
            </w:r>
          </w:p>
        </w:tc>
      </w:tr>
      <w:tr w:rsidR="002F1C54" w:rsidRPr="004D28D2" w:rsidTr="00D73F13">
        <w:trPr>
          <w:trHeight w:val="80"/>
          <w:jc w:val="center"/>
        </w:trPr>
        <w:tc>
          <w:tcPr>
            <w:tcW w:w="1655"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503"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6.541</w:t>
            </w:r>
          </w:p>
        </w:tc>
        <w:tc>
          <w:tcPr>
            <w:tcW w:w="1265" w:type="dxa"/>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849.636</w:t>
            </w:r>
          </w:p>
        </w:tc>
        <w:tc>
          <w:tcPr>
            <w:tcW w:w="1983" w:type="dxa"/>
            <w:gridSpan w:val="3"/>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7.7</w:t>
            </w:r>
          </w:p>
        </w:tc>
        <w:tc>
          <w:tcPr>
            <w:tcW w:w="2441" w:type="dxa"/>
            <w:gridSpan w:val="2"/>
            <w:tcBorders>
              <w:top w:val="nil"/>
              <w:left w:val="nil"/>
              <w:bottom w:val="single" w:sz="8" w:space="0" w:color="auto"/>
              <w:right w:val="nil"/>
            </w:tcBorders>
            <w:vAlign w:val="bottom"/>
          </w:tcPr>
          <w:p w:rsidR="002F1C54" w:rsidRDefault="002F1C54" w:rsidP="00D73F13">
            <w:pPr>
              <w:jc w:val="center"/>
              <w:rPr>
                <w:rFonts w:ascii="Garamond" w:hAnsi="Garamond" w:cs="Arial"/>
                <w:sz w:val="20"/>
                <w:szCs w:val="20"/>
              </w:rPr>
            </w:pPr>
            <w:r>
              <w:rPr>
                <w:rFonts w:ascii="Garamond" w:hAnsi="Garamond" w:cs="Arial"/>
                <w:sz w:val="20"/>
                <w:szCs w:val="20"/>
              </w:rPr>
              <w:t>-15.4</w:t>
            </w:r>
          </w:p>
        </w:tc>
      </w:tr>
      <w:tr w:rsidR="002F1C54" w:rsidRPr="004D28D2" w:rsidTr="00D73F13">
        <w:trPr>
          <w:trHeight w:val="60"/>
          <w:jc w:val="center"/>
        </w:trPr>
        <w:tc>
          <w:tcPr>
            <w:tcW w:w="1655" w:type="dxa"/>
            <w:tcBorders>
              <w:top w:val="nil"/>
              <w:left w:val="nil"/>
              <w:bottom w:val="single" w:sz="8" w:space="0" w:color="auto"/>
              <w:right w:val="nil"/>
            </w:tcBorders>
            <w:shd w:val="clear" w:color="auto" w:fill="auto"/>
            <w:vAlign w:val="center"/>
            <w:hideMark/>
          </w:tcPr>
          <w:p w:rsidR="002F1C54" w:rsidRPr="004D28D2" w:rsidRDefault="002F1C54" w:rsidP="00D73F1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503" w:type="dxa"/>
            <w:gridSpan w:val="2"/>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90.253</w:t>
            </w:r>
          </w:p>
        </w:tc>
        <w:tc>
          <w:tcPr>
            <w:tcW w:w="1265" w:type="dxa"/>
            <w:tcBorders>
              <w:top w:val="nil"/>
              <w:left w:val="nil"/>
              <w:bottom w:val="single" w:sz="8" w:space="0" w:color="auto"/>
              <w:right w:val="nil"/>
            </w:tcBorders>
            <w:shd w:val="clear" w:color="auto" w:fill="auto"/>
            <w:noWrap/>
            <w:hideMark/>
          </w:tcPr>
          <w:p w:rsidR="002F1C54" w:rsidRDefault="002F1C54" w:rsidP="00D73F13">
            <w:pPr>
              <w:jc w:val="center"/>
              <w:rPr>
                <w:rFonts w:ascii="Garamond" w:hAnsi="Garamond" w:cs="Arial"/>
                <w:sz w:val="20"/>
                <w:szCs w:val="20"/>
              </w:rPr>
            </w:pPr>
            <w:r>
              <w:rPr>
                <w:rFonts w:ascii="Garamond" w:hAnsi="Garamond" w:cs="Arial"/>
                <w:sz w:val="20"/>
                <w:szCs w:val="20"/>
              </w:rPr>
              <w:t>9.917.714</w:t>
            </w:r>
          </w:p>
        </w:tc>
        <w:tc>
          <w:tcPr>
            <w:tcW w:w="1983" w:type="dxa"/>
            <w:gridSpan w:val="3"/>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s="Arial"/>
                <w:sz w:val="20"/>
                <w:szCs w:val="20"/>
              </w:rPr>
            </w:pPr>
            <w:r>
              <w:rPr>
                <w:rFonts w:ascii="Garamond" w:hAnsi="Garamond" w:cs="Arial"/>
                <w:sz w:val="20"/>
                <w:szCs w:val="20"/>
              </w:rPr>
              <w:t>9.1</w:t>
            </w:r>
          </w:p>
        </w:tc>
        <w:tc>
          <w:tcPr>
            <w:tcW w:w="2441" w:type="dxa"/>
            <w:gridSpan w:val="2"/>
            <w:tcBorders>
              <w:top w:val="nil"/>
              <w:left w:val="nil"/>
              <w:bottom w:val="single" w:sz="8" w:space="0" w:color="auto"/>
              <w:right w:val="nil"/>
            </w:tcBorders>
          </w:tcPr>
          <w:p w:rsidR="002F1C54" w:rsidRDefault="002F1C54" w:rsidP="00D73F13">
            <w:pPr>
              <w:jc w:val="center"/>
              <w:rPr>
                <w:rFonts w:ascii="Garamond" w:hAnsi="Garamond" w:cs="Arial"/>
                <w:sz w:val="20"/>
                <w:szCs w:val="20"/>
              </w:rPr>
            </w:pPr>
            <w:r>
              <w:rPr>
                <w:rFonts w:ascii="Garamond" w:hAnsi="Garamond" w:cs="Arial"/>
                <w:sz w:val="20"/>
                <w:szCs w:val="20"/>
              </w:rPr>
              <w:t>100</w:t>
            </w:r>
          </w:p>
        </w:tc>
      </w:tr>
      <w:tr w:rsidR="002F1C54" w:rsidRPr="004D28D2" w:rsidTr="00D73F13">
        <w:trPr>
          <w:gridAfter w:val="1"/>
          <w:wAfter w:w="1157" w:type="dxa"/>
          <w:trHeight w:val="60"/>
          <w:jc w:val="center"/>
        </w:trPr>
        <w:tc>
          <w:tcPr>
            <w:tcW w:w="3100" w:type="dxa"/>
            <w:gridSpan w:val="2"/>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38" w:type="dxa"/>
            <w:gridSpan w:val="3"/>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F1C54" w:rsidRPr="004D28D2" w:rsidRDefault="002F1C54" w:rsidP="00D73F13">
            <w:pPr>
              <w:rPr>
                <w:rFonts w:ascii="Garamond" w:hAnsi="Garamond" w:cs="Arial"/>
                <w:sz w:val="20"/>
                <w:szCs w:val="20"/>
                <w:lang w:val="en-US" w:eastAsia="en-US"/>
              </w:rPr>
            </w:pPr>
          </w:p>
        </w:tc>
        <w:tc>
          <w:tcPr>
            <w:tcW w:w="1732" w:type="dxa"/>
            <w:gridSpan w:val="2"/>
            <w:tcBorders>
              <w:top w:val="nil"/>
              <w:left w:val="nil"/>
              <w:bottom w:val="nil"/>
              <w:right w:val="nil"/>
            </w:tcBorders>
          </w:tcPr>
          <w:p w:rsidR="002F1C54" w:rsidRPr="004D28D2" w:rsidRDefault="002F1C54" w:rsidP="00D73F13">
            <w:pPr>
              <w:rPr>
                <w:rFonts w:ascii="Garamond" w:hAnsi="Garamond" w:cs="Arial"/>
                <w:sz w:val="20"/>
                <w:szCs w:val="20"/>
                <w:lang w:val="en-US" w:eastAsia="en-US"/>
              </w:rPr>
            </w:pPr>
          </w:p>
        </w:tc>
      </w:tr>
    </w:tbl>
    <w:p w:rsidR="002F1C54" w:rsidRDefault="002F1C54" w:rsidP="002F1C54">
      <w:pPr>
        <w:spacing w:line="360" w:lineRule="auto"/>
        <w:jc w:val="both"/>
      </w:pPr>
    </w:p>
    <w:p w:rsidR="002F1C54" w:rsidRDefault="002F1C54" w:rsidP="002F1C54">
      <w:pPr>
        <w:jc w:val="center"/>
      </w:pPr>
      <w:r w:rsidRPr="004A34B8">
        <w:rPr>
          <w:noProof/>
        </w:rPr>
        <w:drawing>
          <wp:inline distT="0" distB="0" distL="0" distR="0">
            <wp:extent cx="5715000" cy="3228975"/>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1C54" w:rsidRDefault="002F1C54" w:rsidP="002F1C54">
      <w:r>
        <w:rPr>
          <w:rFonts w:ascii="Garamond" w:hAnsi="Garamond" w:cs="Arial"/>
          <w:b/>
          <w:bCs/>
          <w:sz w:val="18"/>
          <w:szCs w:val="18"/>
          <w:lang w:eastAsia="en-US"/>
        </w:rP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2F1C54" w:rsidRDefault="002F1C54" w:rsidP="002F1C54">
      <w:pPr>
        <w:spacing w:line="360" w:lineRule="auto"/>
        <w:jc w:val="both"/>
      </w:pPr>
    </w:p>
    <w:p w:rsidR="002F1C54" w:rsidRDefault="002F1C54" w:rsidP="002F1C54">
      <w:pPr>
        <w:spacing w:line="360" w:lineRule="auto"/>
        <w:jc w:val="both"/>
      </w:pPr>
      <w:r>
        <w:lastRenderedPageBreak/>
        <w:t xml:space="preserve">Per riassumere tutte le informazioni precedentemente mostrate, faremo ricorso all’analisi di cluster, tecnica tramite la quale é possibile raggruppare le varie unità territoriali considerate in base al loro grado di vicinanza. </w:t>
      </w:r>
    </w:p>
    <w:p w:rsidR="002F1C54" w:rsidRPr="000E06E2" w:rsidRDefault="002F1C54" w:rsidP="002F1C54">
      <w:pPr>
        <w:spacing w:line="360" w:lineRule="auto"/>
        <w:jc w:val="both"/>
      </w:pPr>
      <w:r>
        <w:t xml:space="preserve">Come primo passaggio abbiamo applicato questa tecnica di analisi per quanto concerne la presenza di ditte individuali e società di persone (indicatori del livello di complessità dell’azienda), la diffusione di ditte artigiane sul totale delle imprese presenti sul territorio e la presenza degli esercizi di vicinato ogni 1.000 abitanti. In questa fase si é deciso di non utilizzare il dato relativo alla presenza di piccole e piccolissime imprese, in quanto quasi identico per tutte le province in questione, aspetto quindi che non permette di usare questa variabile con fini classificatori.   </w:t>
      </w:r>
    </w:p>
    <w:p w:rsidR="002F1C54" w:rsidRDefault="002F1C54" w:rsidP="002F1C54">
      <w:pPr>
        <w:spacing w:line="360" w:lineRule="auto"/>
        <w:jc w:val="both"/>
        <w:rPr>
          <w:b/>
        </w:rPr>
      </w:pPr>
    </w:p>
    <w:p w:rsidR="002F1C54" w:rsidRDefault="002F1C54" w:rsidP="002F1C54">
      <w:pPr>
        <w:jc w:val="center"/>
        <w:rPr>
          <w:b/>
        </w:rPr>
      </w:pPr>
      <w:r>
        <w:rPr>
          <w:b/>
          <w:noProof/>
        </w:rPr>
        <w:drawing>
          <wp:inline distT="0" distB="0" distL="0" distR="0">
            <wp:extent cx="5353050" cy="38290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53050" cy="3829050"/>
                    </a:xfrm>
                    <a:prstGeom prst="rect">
                      <a:avLst/>
                    </a:prstGeom>
                    <a:noFill/>
                    <a:ln w="9525">
                      <a:noFill/>
                      <a:miter lim="800000"/>
                      <a:headEnd/>
                      <a:tailEnd/>
                    </a:ln>
                  </pic:spPr>
                </pic:pic>
              </a:graphicData>
            </a:graphic>
          </wp:inline>
        </w:drawing>
      </w:r>
    </w:p>
    <w:p w:rsidR="002F1C54" w:rsidRDefault="002F1C54" w:rsidP="002F1C54">
      <w:r>
        <w:rPr>
          <w:rFonts w:ascii="Garamond" w:hAnsi="Garamond" w:cs="Arial"/>
          <w:b/>
          <w:bCs/>
          <w:sz w:val="18"/>
          <w:szCs w:val="18"/>
          <w:lang w:eastAsia="en-US"/>
        </w:rP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2F1C54" w:rsidRPr="001E37BD" w:rsidRDefault="002F1C54" w:rsidP="002F1C54">
      <w:pPr>
        <w:spacing w:line="360" w:lineRule="auto"/>
      </w:pPr>
    </w:p>
    <w:p w:rsidR="002F1C54" w:rsidRPr="001E37BD" w:rsidRDefault="002F1C54" w:rsidP="002F1C54">
      <w:pPr>
        <w:spacing w:line="360" w:lineRule="auto"/>
        <w:jc w:val="both"/>
      </w:pPr>
    </w:p>
    <w:p w:rsidR="002F1C54" w:rsidRDefault="002F1C54" w:rsidP="002F1C54">
      <w:pPr>
        <w:spacing w:line="360" w:lineRule="auto"/>
        <w:jc w:val="both"/>
      </w:pPr>
      <w:r w:rsidRPr="001E37BD">
        <w:t xml:space="preserve">Il </w:t>
      </w:r>
      <w:r>
        <w:t>risultato della cluster analisi indica come sia possibile suddividere le province lombarde in tre categorie per quanto concerne gli aspetti precedentemente definiti. Un primo gruppo risulta comporsi delle province di Varese, Monza e Brianza, Lecco, Como, Brescia e Bergamo; il secondo dalle province di Sondrio, Pavia, Cremona, Mantova e Lodi e, infine, la provincia di Milano come realtà distinta rispetto alle altre. Nella tabella che segue, invece, é possibile osservare i valori medi</w:t>
      </w:r>
    </w:p>
    <w:p w:rsidR="002F1C54" w:rsidRPr="001E37BD" w:rsidRDefault="002F1C54" w:rsidP="002F1C54">
      <w:pPr>
        <w:spacing w:line="360" w:lineRule="auto"/>
        <w:jc w:val="both"/>
      </w:pPr>
    </w:p>
    <w:p w:rsidR="002F1C54" w:rsidRPr="001E37BD" w:rsidRDefault="002F1C54" w:rsidP="002F1C54">
      <w:pPr>
        <w:spacing w:line="360" w:lineRule="auto"/>
        <w:jc w:val="both"/>
      </w:pPr>
    </w:p>
    <w:tbl>
      <w:tblPr>
        <w:tblW w:w="5151" w:type="dxa"/>
        <w:jc w:val="center"/>
        <w:tblInd w:w="93" w:type="dxa"/>
        <w:tblLook w:val="04A0"/>
      </w:tblPr>
      <w:tblGrid>
        <w:gridCol w:w="3416"/>
        <w:gridCol w:w="1584"/>
        <w:gridCol w:w="151"/>
      </w:tblGrid>
      <w:tr w:rsidR="002F1C54" w:rsidRPr="00E95626" w:rsidTr="00D73F13">
        <w:trPr>
          <w:gridAfter w:val="1"/>
          <w:wAfter w:w="151" w:type="dxa"/>
          <w:trHeight w:val="80"/>
          <w:jc w:val="center"/>
        </w:trPr>
        <w:tc>
          <w:tcPr>
            <w:tcW w:w="5000"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lastRenderedPageBreak/>
              <w:t>Province all'interno di ogni gruppo individuato</w:t>
            </w:r>
          </w:p>
        </w:tc>
      </w:tr>
      <w:tr w:rsidR="002F1C54" w:rsidRPr="00E95626" w:rsidTr="00D73F13">
        <w:trPr>
          <w:trHeight w:val="60"/>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2F1C54" w:rsidRPr="00E95626" w:rsidTr="00D73F13">
        <w:trPr>
          <w:trHeight w:val="6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158"/>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6"/>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Bergamo</w:t>
            </w:r>
          </w:p>
        </w:tc>
        <w:tc>
          <w:tcPr>
            <w:tcW w:w="1735"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6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Sondrio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Pavia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Cremona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Mantova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Lodi</w:t>
            </w:r>
          </w:p>
        </w:tc>
        <w:tc>
          <w:tcPr>
            <w:tcW w:w="1735"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111"/>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3</w:t>
            </w:r>
          </w:p>
        </w:tc>
      </w:tr>
      <w:tr w:rsidR="002F1C54" w:rsidRPr="00E95626" w:rsidTr="00D73F13">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 xml:space="preserve">propri all’interno dei singoli gruppi. Inoltre, per dare un’idea del livello di omogeneità del dato per gruppo, é stato inserito anche il dato della deviazione standard che misura il grado di dispersione del dato attorno al valore medio. Da questo punto di vista, é possibile osservare come i valori mostrati dalle deviazioni standard siano molto contenuti, a conferma dell’elevato grado di somiglianza tra le unità territoriali all’interno dei gruppi e, quindi, della bontà del modello descrittivo proposto. </w:t>
      </w:r>
    </w:p>
    <w:p w:rsidR="002F1C54" w:rsidRPr="001E37BD" w:rsidRDefault="002F1C54" w:rsidP="002F1C54">
      <w:pPr>
        <w:spacing w:line="360" w:lineRule="auto"/>
        <w:jc w:val="both"/>
      </w:pPr>
      <w:r>
        <w:t>In generale, é possibile osservare come i tre gruppi di differenzino in base alla maggiore diffusione all’interno del tessuto economico di ditte dalla struttura semplice, ditte artigiane e piccoli esercizi di vicinato. In generale, é il gruppo 2 a caratterizzarsi per la maggiore presenza di questo tipo di attività economica, con una presenza media di ditte individuali e società di persone pari all’83,2% delle imprese attive, una diffusione dell’artigianato che arriva a rappresentare il 40,6% delle imprese totali e la presenza di oltre 10 esercizi di vicinato ogni 1000 abitanti (1 ogni 100). Sul lato opposto, si pone la provincia di Milano (gruppo 3) con una presenza nettamente più contenuta di questo tipo di imprese all’interno del proprio tessuto economico, soprattutto per quanto concerne la presenza di ditte individuali e società di persone e la presenza dell’artigianato. In posizione intermedia si posizionano le province appartenenti al gruppo 1 individuato dal modello utilizzato.</w:t>
      </w:r>
    </w:p>
    <w:p w:rsidR="002F1C54" w:rsidRPr="001E37BD" w:rsidRDefault="002F1C54" w:rsidP="002F1C54">
      <w:pPr>
        <w:spacing w:line="360" w:lineRule="auto"/>
        <w:jc w:val="both"/>
      </w:pPr>
    </w:p>
    <w:tbl>
      <w:tblPr>
        <w:tblW w:w="9741" w:type="dxa"/>
        <w:jc w:val="center"/>
        <w:tblInd w:w="-252" w:type="dxa"/>
        <w:tblLook w:val="04A0"/>
      </w:tblPr>
      <w:tblGrid>
        <w:gridCol w:w="1365"/>
        <w:gridCol w:w="1260"/>
        <w:gridCol w:w="2706"/>
        <w:gridCol w:w="369"/>
        <w:gridCol w:w="1791"/>
        <w:gridCol w:w="289"/>
        <w:gridCol w:w="1961"/>
      </w:tblGrid>
      <w:tr w:rsidR="002F1C54" w:rsidRPr="00E81991" w:rsidTr="00D73F13">
        <w:trPr>
          <w:trHeight w:val="270"/>
          <w:jc w:val="center"/>
        </w:trPr>
        <w:tc>
          <w:tcPr>
            <w:tcW w:w="5700" w:type="dxa"/>
            <w:gridSpan w:val="4"/>
            <w:tcBorders>
              <w:top w:val="nil"/>
              <w:left w:val="nil"/>
              <w:bottom w:val="single" w:sz="8" w:space="0" w:color="auto"/>
              <w:right w:val="nil"/>
            </w:tcBorders>
            <w:shd w:val="clear" w:color="auto" w:fill="auto"/>
            <w:noWrap/>
            <w:vAlign w:val="bottom"/>
            <w:hideMark/>
          </w:tcPr>
          <w:p w:rsidR="002F1C54" w:rsidRPr="00E81991" w:rsidRDefault="002F1C54" w:rsidP="00D73F13">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2F1C54" w:rsidRPr="00E81991" w:rsidTr="00D73F13">
        <w:trPr>
          <w:trHeight w:val="60"/>
          <w:jc w:val="center"/>
        </w:trPr>
        <w:tc>
          <w:tcPr>
            <w:tcW w:w="1365"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Esercizi di vicinato</w:t>
            </w:r>
          </w:p>
        </w:tc>
      </w:tr>
      <w:tr w:rsidR="002F1C54" w:rsidRPr="00E81991" w:rsidTr="00D73F13">
        <w:trPr>
          <w:trHeight w:val="60"/>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8,6</w:t>
            </w:r>
          </w:p>
        </w:tc>
      </w:tr>
      <w:tr w:rsidR="002F1C54" w:rsidRPr="00E81991" w:rsidTr="00D73F13">
        <w:trPr>
          <w:trHeight w:val="6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0,9</w:t>
            </w:r>
          </w:p>
        </w:tc>
      </w:tr>
      <w:tr w:rsidR="002F1C54" w:rsidRPr="00E81991" w:rsidTr="00D73F13">
        <w:trPr>
          <w:trHeight w:val="120"/>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10,2</w:t>
            </w:r>
          </w:p>
        </w:tc>
      </w:tr>
      <w:tr w:rsidR="002F1C54" w:rsidRPr="00E81991" w:rsidTr="00D73F13">
        <w:trPr>
          <w:trHeight w:val="6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r>
      <w:tr w:rsidR="002F1C54" w:rsidRPr="00E81991" w:rsidTr="00D73F13">
        <w:trPr>
          <w:trHeight w:val="60"/>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9,1</w:t>
            </w:r>
          </w:p>
        </w:tc>
      </w:tr>
      <w:tr w:rsidR="002F1C54" w:rsidRPr="00E81991" w:rsidTr="00D73F13">
        <w:trPr>
          <w:trHeight w:val="6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r>
      <w:tr w:rsidR="002F1C54" w:rsidRPr="00E81991" w:rsidTr="00D73F13">
        <w:trPr>
          <w:trHeight w:val="60"/>
          <w:jc w:val="center"/>
        </w:trPr>
        <w:tc>
          <w:tcPr>
            <w:tcW w:w="5700" w:type="dxa"/>
            <w:gridSpan w:val="4"/>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r>
    </w:tbl>
    <w:p w:rsidR="002F1C54" w:rsidRDefault="002F1C54" w:rsidP="002F1C54">
      <w:pPr>
        <w:spacing w:line="360" w:lineRule="auto"/>
        <w:jc w:val="both"/>
        <w:rPr>
          <w:b/>
        </w:rPr>
      </w:pPr>
    </w:p>
    <w:p w:rsidR="002F1C54" w:rsidRPr="00C026CB" w:rsidRDefault="002F1C54" w:rsidP="002F1C54">
      <w:pPr>
        <w:spacing w:line="360" w:lineRule="auto"/>
        <w:jc w:val="both"/>
      </w:pPr>
      <w:r>
        <w:lastRenderedPageBreak/>
        <w:t>Successivamente, abbiamo utilizzato la medesima tecnica per raggruppare le varie province in funzione dei settori economici. In modo particolare, ci siamo focalizzati sulla presenza del settore agricolo, edile e alberghiero, vale a dire quelli individuati dalla letteratura come i settori a maggiore presenza di evasione. In questo caso, il modello mostra la presenza di 3 gruppi distinti: il primo</w:t>
      </w:r>
    </w:p>
    <w:p w:rsidR="002F1C54" w:rsidRPr="00C026CB" w:rsidRDefault="002F1C54" w:rsidP="002F1C54">
      <w:pPr>
        <w:spacing w:line="360" w:lineRule="auto"/>
        <w:jc w:val="both"/>
      </w:pPr>
    </w:p>
    <w:p w:rsidR="002F1C54" w:rsidRDefault="002F1C54" w:rsidP="002F1C54">
      <w:pPr>
        <w:jc w:val="center"/>
        <w:rPr>
          <w:b/>
        </w:rPr>
      </w:pPr>
      <w:r>
        <w:rPr>
          <w:b/>
          <w:noProof/>
        </w:rPr>
        <w:drawing>
          <wp:inline distT="0" distB="0" distL="0" distR="0">
            <wp:extent cx="5305425" cy="384810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305425" cy="3848100"/>
                    </a:xfrm>
                    <a:prstGeom prst="rect">
                      <a:avLst/>
                    </a:prstGeom>
                    <a:noFill/>
                    <a:ln w="9525">
                      <a:noFill/>
                      <a:miter lim="800000"/>
                      <a:headEnd/>
                      <a:tailEnd/>
                    </a:ln>
                  </pic:spPr>
                </pic:pic>
              </a:graphicData>
            </a:graphic>
          </wp:inline>
        </w:drawing>
      </w:r>
    </w:p>
    <w:p w:rsidR="002F1C54" w:rsidRDefault="002F1C54" w:rsidP="002F1C54">
      <w:pPr>
        <w:rPr>
          <w:b/>
        </w:rPr>
      </w:pPr>
      <w:r>
        <w:rPr>
          <w:rFonts w:ascii="Garamond" w:hAnsi="Garamond"/>
          <w:b/>
          <w:bCs/>
          <w:color w:val="000000"/>
          <w:sz w:val="18"/>
          <w:szCs w:val="18"/>
          <w:lang w:eastAsia="en-US"/>
        </w:rPr>
        <w:t xml:space="preserve">               </w:t>
      </w:r>
      <w:r w:rsidRPr="00E81991">
        <w:rPr>
          <w:rFonts w:ascii="Garamond" w:hAnsi="Garamond"/>
          <w:b/>
          <w:bCs/>
          <w:color w:val="000000"/>
          <w:sz w:val="18"/>
          <w:szCs w:val="18"/>
          <w:lang w:eastAsia="en-US"/>
        </w:rPr>
        <w:t>Fonte: Elaborazione IRES Morosini su dati ASR Lombardia</w:t>
      </w:r>
    </w:p>
    <w:p w:rsidR="002F1C54" w:rsidRPr="00C026CB" w:rsidRDefault="002F1C54" w:rsidP="002F1C54">
      <w:pPr>
        <w:spacing w:line="360" w:lineRule="auto"/>
        <w:jc w:val="both"/>
      </w:pPr>
    </w:p>
    <w:p w:rsidR="002F1C54" w:rsidRPr="00C026CB" w:rsidRDefault="002F1C54" w:rsidP="002F1C54">
      <w:pPr>
        <w:spacing w:line="360" w:lineRule="auto"/>
        <w:jc w:val="both"/>
      </w:pPr>
      <w:r>
        <w:t>formato dalle province di Varese, Monza, Lecco, Como e Milano; il secondo da Brescia, Bergamo e Lodi; e il terzo gruppo dalle province di Sondrio, Pavia, Cremona e Mantova. In modo particolare,</w:t>
      </w:r>
    </w:p>
    <w:p w:rsidR="002F1C54" w:rsidRPr="00C026CB" w:rsidRDefault="002F1C54" w:rsidP="002F1C54">
      <w:pPr>
        <w:spacing w:line="360" w:lineRule="auto"/>
        <w:jc w:val="both"/>
      </w:pPr>
    </w:p>
    <w:tbl>
      <w:tblPr>
        <w:tblW w:w="5151" w:type="dxa"/>
        <w:jc w:val="center"/>
        <w:tblInd w:w="93" w:type="dxa"/>
        <w:tblLook w:val="04A0"/>
      </w:tblPr>
      <w:tblGrid>
        <w:gridCol w:w="3416"/>
        <w:gridCol w:w="1584"/>
        <w:gridCol w:w="151"/>
      </w:tblGrid>
      <w:tr w:rsidR="002F1C54" w:rsidRPr="00E95626" w:rsidTr="00D73F13">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Province all'interno di ogni gruppo individuato</w:t>
            </w:r>
          </w:p>
        </w:tc>
      </w:tr>
      <w:tr w:rsidR="002F1C54" w:rsidRPr="00E95626" w:rsidTr="00D73F13">
        <w:trPr>
          <w:trHeight w:val="75"/>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2F1C54" w:rsidRPr="00E95626" w:rsidTr="00D73F13">
        <w:trPr>
          <w:trHeight w:val="93"/>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131"/>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80"/>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2F1C54" w:rsidRPr="00E95626" w:rsidTr="00D73F13">
        <w:trPr>
          <w:trHeight w:val="60"/>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Bergamo</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80"/>
          <w:jc w:val="center"/>
        </w:trPr>
        <w:tc>
          <w:tcPr>
            <w:tcW w:w="3416" w:type="dxa"/>
            <w:tcBorders>
              <w:top w:val="nil"/>
              <w:left w:val="nil"/>
              <w:bottom w:val="single" w:sz="4"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Lodi</w:t>
            </w:r>
          </w:p>
        </w:tc>
        <w:tc>
          <w:tcPr>
            <w:tcW w:w="1735" w:type="dxa"/>
            <w:gridSpan w:val="2"/>
            <w:tcBorders>
              <w:top w:val="nil"/>
              <w:left w:val="nil"/>
              <w:bottom w:val="single" w:sz="4"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2F1C54" w:rsidRPr="00E95626" w:rsidTr="00D73F13">
        <w:trPr>
          <w:trHeight w:val="70"/>
          <w:jc w:val="center"/>
        </w:trPr>
        <w:tc>
          <w:tcPr>
            <w:tcW w:w="3416" w:type="dxa"/>
            <w:tcBorders>
              <w:top w:val="single" w:sz="4" w:space="0" w:color="auto"/>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2F1C54" w:rsidRPr="00E95626" w:rsidTr="00D73F13">
        <w:trPr>
          <w:trHeight w:val="8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2F1C54" w:rsidRPr="00E95626" w:rsidTr="00D73F13">
        <w:trPr>
          <w:trHeight w:val="8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2F1C54" w:rsidRPr="00E95626" w:rsidTr="00D73F13">
        <w:trPr>
          <w:trHeight w:val="80"/>
          <w:jc w:val="center"/>
        </w:trPr>
        <w:tc>
          <w:tcPr>
            <w:tcW w:w="3416" w:type="dxa"/>
            <w:tcBorders>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3</w:t>
            </w:r>
          </w:p>
        </w:tc>
      </w:tr>
      <w:tr w:rsidR="002F1C54" w:rsidRPr="00E95626" w:rsidTr="00D73F13">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2F1C54" w:rsidRPr="00306EF2" w:rsidRDefault="002F1C54" w:rsidP="002F1C54">
      <w:pPr>
        <w:spacing w:line="360" w:lineRule="auto"/>
        <w:jc w:val="both"/>
      </w:pPr>
    </w:p>
    <w:p w:rsidR="002F1C54" w:rsidRDefault="002F1C54" w:rsidP="002F1C54">
      <w:pPr>
        <w:spacing w:line="360" w:lineRule="auto"/>
        <w:jc w:val="both"/>
      </w:pPr>
      <w:r>
        <w:lastRenderedPageBreak/>
        <w:t xml:space="preserve">dalla tabella sottostante é possibile osservare come le principali differenze a livello di cluster siano da attribuire al settore agricolo. Infatti, i tre gruppi risultano distinguersi per l’importanza che l’agricoltura presenta nel tessuto economico di questi. </w:t>
      </w:r>
    </w:p>
    <w:p w:rsidR="002F1C54" w:rsidRDefault="002F1C54" w:rsidP="002F1C54">
      <w:pPr>
        <w:spacing w:line="360" w:lineRule="auto"/>
        <w:jc w:val="both"/>
      </w:pPr>
      <w:r>
        <w:t>Il primo gruppo si caratterizza per una presenza di imprese attive nel settore agricolo di tipo residuale, con un valore medio pari a 3,1%; valori intermedi si registrano invece all’interno del secondo cluster caratterizzato da un dato medio pari all’8,3%. Le province del secondo gruppo (Brescia, Bergamo e Lodi), inoltre, si caratterizzano in media per una maggiore diffusione (seppure lieve) di imprese attive nel settore dell’edilizia con un dato medio pari a 20,9% rispetto al 18,4% proprio degli altri due cluster.</w:t>
      </w:r>
    </w:p>
    <w:p w:rsidR="002F1C54" w:rsidRPr="00306EF2" w:rsidRDefault="002F1C54" w:rsidP="002F1C54">
      <w:pPr>
        <w:spacing w:line="360" w:lineRule="auto"/>
        <w:jc w:val="both"/>
      </w:pPr>
      <w:r>
        <w:t>L’ultimo gruppo, invece, formato dalle province collocate totalmente all’interno della Pianura Padana con l’aggiunta della provincia montana di Sondrio, si caratterizza per un sistema economico principalmente agricolo, all’interno del quale il peso della imprese attive nel settore agricolo eguaglia (e in alcuni casi supera) il peso dei settori tradizionalmente più diffusi, come il settore manifatturiero, del commercio o dei servizi.</w:t>
      </w:r>
    </w:p>
    <w:p w:rsidR="002F1C54" w:rsidRPr="00306EF2" w:rsidRDefault="002F1C54" w:rsidP="002F1C54">
      <w:pPr>
        <w:spacing w:line="360" w:lineRule="auto"/>
        <w:jc w:val="both"/>
      </w:pPr>
    </w:p>
    <w:tbl>
      <w:tblPr>
        <w:tblW w:w="9741" w:type="dxa"/>
        <w:jc w:val="center"/>
        <w:tblInd w:w="-252" w:type="dxa"/>
        <w:tblLook w:val="04A0"/>
      </w:tblPr>
      <w:tblGrid>
        <w:gridCol w:w="1365"/>
        <w:gridCol w:w="1260"/>
        <w:gridCol w:w="2706"/>
        <w:gridCol w:w="369"/>
        <w:gridCol w:w="1791"/>
        <w:gridCol w:w="289"/>
        <w:gridCol w:w="1961"/>
      </w:tblGrid>
      <w:tr w:rsidR="002F1C54" w:rsidRPr="00E81991" w:rsidTr="00D73F13">
        <w:trPr>
          <w:trHeight w:val="270"/>
          <w:jc w:val="center"/>
        </w:trPr>
        <w:tc>
          <w:tcPr>
            <w:tcW w:w="5700" w:type="dxa"/>
            <w:gridSpan w:val="4"/>
            <w:tcBorders>
              <w:top w:val="nil"/>
              <w:left w:val="nil"/>
              <w:bottom w:val="single" w:sz="8" w:space="0" w:color="auto"/>
              <w:right w:val="nil"/>
            </w:tcBorders>
            <w:shd w:val="clear" w:color="auto" w:fill="auto"/>
            <w:noWrap/>
            <w:vAlign w:val="bottom"/>
            <w:hideMark/>
          </w:tcPr>
          <w:p w:rsidR="002F1C54" w:rsidRPr="00E81991" w:rsidRDefault="002F1C54" w:rsidP="00D73F13">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2F1C54" w:rsidRPr="00E81991" w:rsidTr="00D73F13">
        <w:trPr>
          <w:trHeight w:val="60"/>
          <w:jc w:val="center"/>
        </w:trPr>
        <w:tc>
          <w:tcPr>
            <w:tcW w:w="1365"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Alberghiero</w:t>
            </w:r>
          </w:p>
        </w:tc>
      </w:tr>
      <w:tr w:rsidR="002F1C54" w:rsidRPr="00E81991" w:rsidTr="00D73F13">
        <w:trPr>
          <w:trHeight w:val="255"/>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6,1</w:t>
            </w:r>
          </w:p>
        </w:tc>
      </w:tr>
      <w:tr w:rsidR="002F1C54" w:rsidRPr="00E81991" w:rsidTr="00D73F13">
        <w:trPr>
          <w:trHeight w:val="27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r>
      <w:tr w:rsidR="002F1C54" w:rsidRPr="00E81991" w:rsidTr="00D73F13">
        <w:trPr>
          <w:trHeight w:val="255"/>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6,6</w:t>
            </w:r>
          </w:p>
        </w:tc>
      </w:tr>
      <w:tr w:rsidR="002F1C54" w:rsidRPr="00E81991" w:rsidTr="00D73F13">
        <w:trPr>
          <w:trHeight w:val="27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0,6</w:t>
            </w:r>
          </w:p>
        </w:tc>
      </w:tr>
      <w:tr w:rsidR="002F1C54" w:rsidRPr="00E81991" w:rsidTr="00D73F13">
        <w:trPr>
          <w:trHeight w:val="255"/>
          <w:jc w:val="center"/>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7,4</w:t>
            </w:r>
          </w:p>
        </w:tc>
      </w:tr>
      <w:tr w:rsidR="002F1C54" w:rsidRPr="00E81991" w:rsidTr="00D73F13">
        <w:trPr>
          <w:trHeight w:val="270"/>
          <w:jc w:val="center"/>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2,6</w:t>
            </w:r>
          </w:p>
        </w:tc>
      </w:tr>
      <w:tr w:rsidR="002F1C54" w:rsidRPr="00E81991" w:rsidTr="00D73F13">
        <w:trPr>
          <w:trHeight w:val="60"/>
          <w:jc w:val="center"/>
        </w:trPr>
        <w:tc>
          <w:tcPr>
            <w:tcW w:w="5700" w:type="dxa"/>
            <w:gridSpan w:val="4"/>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r>
    </w:tbl>
    <w:p w:rsidR="002F1C54" w:rsidRPr="002B3EF0" w:rsidRDefault="002F1C54" w:rsidP="002F1C54">
      <w:pPr>
        <w:spacing w:line="360" w:lineRule="auto"/>
        <w:jc w:val="both"/>
      </w:pPr>
    </w:p>
    <w:p w:rsidR="002F1C54" w:rsidRDefault="002F1C54" w:rsidP="002F1C54">
      <w:pPr>
        <w:spacing w:line="360" w:lineRule="auto"/>
        <w:jc w:val="both"/>
      </w:pPr>
    </w:p>
    <w:p w:rsidR="002F1C54" w:rsidRPr="002B3EF0" w:rsidRDefault="002F1C54" w:rsidP="002F1C54">
      <w:pPr>
        <w:spacing w:line="360" w:lineRule="auto"/>
        <w:jc w:val="both"/>
      </w:pPr>
      <w:r>
        <w:t xml:space="preserve">Nell’ultima parte abbiamo riassunto tutti i fattori presi in considerazione in un’unica analisi al fine di definire un quadro classificatorio delle province Lombarde in funzione della loro struttura economica. Come si può osservare é possibile individuare 4 gruppi distinti all’interno della regione Lombardia (per quanto il gruppo 3, formato dalla sola provincia di Lodi, e il gruppo 2 presentino un certo livello di somiglianza). </w:t>
      </w:r>
    </w:p>
    <w:p w:rsidR="002F1C54" w:rsidRPr="002B3EF0" w:rsidRDefault="002F1C54" w:rsidP="002F1C54">
      <w:pPr>
        <w:spacing w:line="360" w:lineRule="auto"/>
        <w:jc w:val="both"/>
      </w:pPr>
    </w:p>
    <w:p w:rsidR="002F1C54" w:rsidRDefault="002F1C54" w:rsidP="002F1C54">
      <w:pPr>
        <w:jc w:val="center"/>
        <w:rPr>
          <w:b/>
        </w:rPr>
      </w:pPr>
      <w:r>
        <w:rPr>
          <w:b/>
          <w:noProof/>
        </w:rPr>
        <w:lastRenderedPageBreak/>
        <w:drawing>
          <wp:inline distT="0" distB="0" distL="0" distR="0">
            <wp:extent cx="5314950" cy="374332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314950" cy="3743325"/>
                    </a:xfrm>
                    <a:prstGeom prst="rect">
                      <a:avLst/>
                    </a:prstGeom>
                    <a:noFill/>
                    <a:ln w="9525">
                      <a:noFill/>
                      <a:miter lim="800000"/>
                      <a:headEnd/>
                      <a:tailEnd/>
                    </a:ln>
                  </pic:spPr>
                </pic:pic>
              </a:graphicData>
            </a:graphic>
          </wp:inline>
        </w:drawing>
      </w:r>
    </w:p>
    <w:p w:rsidR="002F1C54" w:rsidRDefault="002F1C54" w:rsidP="002F1C54">
      <w:pPr>
        <w:rPr>
          <w:b/>
        </w:rPr>
      </w:pPr>
      <w:r>
        <w:rPr>
          <w:rFonts w:ascii="Garamond" w:hAnsi="Garamond"/>
          <w:b/>
          <w:bCs/>
          <w:color w:val="000000"/>
          <w:sz w:val="18"/>
          <w:szCs w:val="18"/>
          <w:lang w:eastAsia="en-US"/>
        </w:rPr>
        <w:t xml:space="preserve">                </w:t>
      </w:r>
      <w:r w:rsidRPr="00E81991">
        <w:rPr>
          <w:rFonts w:ascii="Garamond" w:hAnsi="Garamond"/>
          <w:b/>
          <w:bCs/>
          <w:color w:val="000000"/>
          <w:sz w:val="18"/>
          <w:szCs w:val="18"/>
          <w:lang w:eastAsia="en-US"/>
        </w:rPr>
        <w:t>Fonte: Elaborazione IRES Morosini su dati ASR Lombardia</w:t>
      </w:r>
    </w:p>
    <w:p w:rsidR="002F1C54" w:rsidRPr="007255B3" w:rsidRDefault="002F1C54" w:rsidP="002F1C54">
      <w:pPr>
        <w:spacing w:line="360" w:lineRule="auto"/>
        <w:jc w:val="both"/>
      </w:pPr>
    </w:p>
    <w:p w:rsidR="002F1C54" w:rsidRPr="007255B3" w:rsidRDefault="002F1C54" w:rsidP="002F1C54">
      <w:pPr>
        <w:spacing w:line="360" w:lineRule="auto"/>
        <w:jc w:val="both"/>
      </w:pPr>
    </w:p>
    <w:p w:rsidR="002F1C54" w:rsidRPr="007255B3" w:rsidRDefault="002F1C54" w:rsidP="002F1C54">
      <w:pPr>
        <w:spacing w:line="360" w:lineRule="auto"/>
        <w:jc w:val="both"/>
      </w:pPr>
      <w:r>
        <w:t xml:space="preserve">La tabella sottostante mostra il risultato della cluster analysis la quale individui due gruppi formati da una sola provincia (Milano, gruppo 1, e Lodi), un gruppo centrale formato da sei province: Monza, Lecco, Como, Varese, Brescia e Bergamo, e un quarto gruppo formato dalla provincia montana di Sondrio e dalle province inserite nella Pianura Padana, vale a dire Pavia, Cremona e Mantova. </w:t>
      </w:r>
    </w:p>
    <w:p w:rsidR="002F1C54" w:rsidRPr="007255B3" w:rsidRDefault="002F1C54" w:rsidP="002F1C54">
      <w:pPr>
        <w:spacing w:line="360" w:lineRule="auto"/>
        <w:jc w:val="both"/>
      </w:pPr>
    </w:p>
    <w:tbl>
      <w:tblPr>
        <w:tblW w:w="5151" w:type="dxa"/>
        <w:jc w:val="center"/>
        <w:tblInd w:w="93" w:type="dxa"/>
        <w:tblLook w:val="04A0"/>
      </w:tblPr>
      <w:tblGrid>
        <w:gridCol w:w="3416"/>
        <w:gridCol w:w="1584"/>
        <w:gridCol w:w="151"/>
      </w:tblGrid>
      <w:tr w:rsidR="002F1C54" w:rsidRPr="00E95626" w:rsidTr="00D73F13">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Province all'interno di ogni gruppo individuato</w:t>
            </w:r>
          </w:p>
        </w:tc>
      </w:tr>
      <w:tr w:rsidR="002F1C54" w:rsidRPr="00E95626" w:rsidTr="00D73F13">
        <w:trPr>
          <w:trHeight w:val="111"/>
          <w:jc w:val="center"/>
        </w:trPr>
        <w:tc>
          <w:tcPr>
            <w:tcW w:w="3416" w:type="dxa"/>
            <w:tcBorders>
              <w:top w:val="nil"/>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2F1C54" w:rsidRPr="00E95626" w:rsidTr="00D73F13">
        <w:trPr>
          <w:trHeight w:val="255"/>
          <w:jc w:val="center"/>
        </w:trPr>
        <w:tc>
          <w:tcPr>
            <w:tcW w:w="3416" w:type="dxa"/>
            <w:tcBorders>
              <w:top w:val="single" w:sz="8" w:space="0" w:color="auto"/>
              <w:left w:val="nil"/>
              <w:bottom w:val="single" w:sz="4"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Milano</w:t>
            </w:r>
            <w:r w:rsidRPr="00E95626">
              <w:rPr>
                <w:rFonts w:ascii="Garamond" w:hAnsi="Garamond"/>
                <w:b/>
                <w:bCs/>
                <w:color w:val="000000"/>
                <w:sz w:val="20"/>
                <w:szCs w:val="20"/>
                <w:lang w:val="en-US" w:eastAsia="en-US"/>
              </w:rPr>
              <w:t xml:space="preserve"> </w:t>
            </w:r>
          </w:p>
        </w:tc>
        <w:tc>
          <w:tcPr>
            <w:tcW w:w="1735" w:type="dxa"/>
            <w:gridSpan w:val="2"/>
            <w:tcBorders>
              <w:top w:val="single" w:sz="8" w:space="0" w:color="auto"/>
              <w:left w:val="nil"/>
              <w:bottom w:val="single" w:sz="4"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w:t>
            </w:r>
          </w:p>
        </w:tc>
      </w:tr>
      <w:tr w:rsidR="002F1C54" w:rsidRPr="00E95626" w:rsidTr="00D73F13">
        <w:trPr>
          <w:trHeight w:val="255"/>
          <w:jc w:val="center"/>
        </w:trPr>
        <w:tc>
          <w:tcPr>
            <w:tcW w:w="3416" w:type="dxa"/>
            <w:tcBorders>
              <w:top w:val="single" w:sz="4" w:space="0" w:color="auto"/>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single" w:sz="4" w:space="0" w:color="auto"/>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7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Brescia</w:t>
            </w:r>
          </w:p>
        </w:tc>
        <w:tc>
          <w:tcPr>
            <w:tcW w:w="1735" w:type="dxa"/>
            <w:gridSpan w:val="2"/>
            <w:tcBorders>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top w:val="nil"/>
              <w:left w:val="nil"/>
              <w:bottom w:val="single" w:sz="4"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Bergamo</w:t>
            </w:r>
          </w:p>
        </w:tc>
        <w:tc>
          <w:tcPr>
            <w:tcW w:w="1735" w:type="dxa"/>
            <w:gridSpan w:val="2"/>
            <w:tcBorders>
              <w:top w:val="nil"/>
              <w:left w:val="nil"/>
              <w:bottom w:val="single" w:sz="4"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2F1C54" w:rsidRPr="00E95626" w:rsidTr="00D73F13">
        <w:trPr>
          <w:trHeight w:val="255"/>
          <w:jc w:val="center"/>
        </w:trPr>
        <w:tc>
          <w:tcPr>
            <w:tcW w:w="3416" w:type="dxa"/>
            <w:tcBorders>
              <w:top w:val="single" w:sz="4" w:space="0" w:color="auto"/>
              <w:left w:val="nil"/>
              <w:bottom w:val="single" w:sz="4"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Lodi</w:t>
            </w:r>
          </w:p>
        </w:tc>
        <w:tc>
          <w:tcPr>
            <w:tcW w:w="1735" w:type="dxa"/>
            <w:gridSpan w:val="2"/>
            <w:tcBorders>
              <w:top w:val="single" w:sz="4" w:space="0" w:color="auto"/>
              <w:left w:val="nil"/>
              <w:bottom w:val="single" w:sz="4"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2F1C54" w:rsidRPr="00E95626" w:rsidTr="00D73F13">
        <w:trPr>
          <w:trHeight w:val="255"/>
          <w:jc w:val="center"/>
        </w:trPr>
        <w:tc>
          <w:tcPr>
            <w:tcW w:w="3416" w:type="dxa"/>
            <w:tcBorders>
              <w:top w:val="single" w:sz="4" w:space="0" w:color="auto"/>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2F1C54" w:rsidRPr="00E95626" w:rsidTr="00D73F13">
        <w:trPr>
          <w:trHeight w:val="255"/>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2F1C54" w:rsidRPr="00E95626" w:rsidTr="00D73F13">
        <w:trPr>
          <w:trHeight w:val="270"/>
          <w:jc w:val="center"/>
        </w:trPr>
        <w:tc>
          <w:tcPr>
            <w:tcW w:w="3416" w:type="dxa"/>
            <w:tcBorders>
              <w:top w:val="nil"/>
              <w:left w:val="nil"/>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2F1C54" w:rsidRPr="00E95626" w:rsidTr="00D73F13">
        <w:trPr>
          <w:trHeight w:val="138"/>
          <w:jc w:val="center"/>
        </w:trPr>
        <w:tc>
          <w:tcPr>
            <w:tcW w:w="3416" w:type="dxa"/>
            <w:tcBorders>
              <w:left w:val="nil"/>
              <w:bottom w:val="single" w:sz="8" w:space="0" w:color="auto"/>
              <w:right w:val="nil"/>
            </w:tcBorders>
            <w:shd w:val="clear" w:color="auto" w:fill="auto"/>
            <w:noWrap/>
            <w:vAlign w:val="bottom"/>
            <w:hideMark/>
          </w:tcPr>
          <w:p w:rsidR="002F1C54" w:rsidRPr="00E95626" w:rsidRDefault="002F1C54" w:rsidP="00D73F13">
            <w:pPr>
              <w:rPr>
                <w:rFonts w:ascii="Garamond" w:hAnsi="Garamond"/>
                <w:b/>
                <w:bCs/>
                <w:color w:val="000000"/>
                <w:sz w:val="20"/>
                <w:szCs w:val="20"/>
                <w:lang w:val="en-US" w:eastAsia="en-US"/>
              </w:rPr>
            </w:pPr>
            <w:r>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2F1C54" w:rsidRPr="00E95626"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2F1C54" w:rsidRPr="00E95626" w:rsidTr="00D73F13">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2F1C54" w:rsidRPr="00E95626" w:rsidRDefault="002F1C54" w:rsidP="00D73F13">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2F1C54" w:rsidRPr="007255B3"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lastRenderedPageBreak/>
        <w:t>Ai due poli estremi si pongono, da un lato, l’area di Milano (provincia caratterizzata dalla limitata presenza di imprese artigiane e di piccole dimensioni e dal limitato peso del settore agricolo e edile nel sistema economico) e, dall’altro, le province di Sondrio, Pavia, Cremona e Mantova contraddistinte invece da una massiccia diffusione di piccole e piccolissime imprese concentrate soprattutto nel settore agricolo.</w:t>
      </w:r>
    </w:p>
    <w:p w:rsidR="002F1C54" w:rsidRPr="007255B3" w:rsidRDefault="002F1C54" w:rsidP="002F1C54">
      <w:pPr>
        <w:spacing w:line="360" w:lineRule="auto"/>
        <w:jc w:val="both"/>
      </w:pPr>
      <w:r>
        <w:t>Nel mezzo risulta collocarsi il gruppo 2 formato dalle province di Monza, Lecco, Como, Varese, Brescia e Bergamo, le quali si caratterizzano per una presenza di piccole e piccolissime imprese e di ditte artigiane più contenuta rispetto al dato del gruppo 4 e allo stesso tempo per un ruolo contenuto del settore agricolo all’interno del sistema economico provinciale. Come già anticipato, la provincia di Lodi risulta collocarsi a metà tra il gruppo 2 e il gruppo 4, fatta eccezione per l’importanza nettamente superiore alla media regionale che risulta ricoprire il settore edile all’interno di questa realtà territoriale. Inoltre, la presenza di valori relativi alla deviazione standard molto bassi sottolinea l’elevato livello di omogeneità delle province all’interno del cluster, le quali risultano presentare valori che oscillano limitatamente dal valore medio.</w:t>
      </w:r>
    </w:p>
    <w:p w:rsidR="002F1C54" w:rsidRPr="007255B3" w:rsidRDefault="002F1C54" w:rsidP="002F1C54">
      <w:pPr>
        <w:spacing w:line="360" w:lineRule="auto"/>
        <w:jc w:val="both"/>
      </w:pPr>
    </w:p>
    <w:tbl>
      <w:tblPr>
        <w:tblW w:w="9835" w:type="dxa"/>
        <w:jc w:val="center"/>
        <w:tblInd w:w="-432" w:type="dxa"/>
        <w:tblLook w:val="04A0"/>
      </w:tblPr>
      <w:tblGrid>
        <w:gridCol w:w="1185"/>
        <w:gridCol w:w="1080"/>
        <w:gridCol w:w="1620"/>
        <w:gridCol w:w="1260"/>
        <w:gridCol w:w="990"/>
        <w:gridCol w:w="180"/>
        <w:gridCol w:w="1206"/>
        <w:gridCol w:w="270"/>
        <w:gridCol w:w="830"/>
        <w:gridCol w:w="414"/>
        <w:gridCol w:w="800"/>
      </w:tblGrid>
      <w:tr w:rsidR="002F1C54" w:rsidRPr="0074636C" w:rsidTr="00D73F13">
        <w:trPr>
          <w:trHeight w:val="270"/>
          <w:jc w:val="center"/>
        </w:trPr>
        <w:tc>
          <w:tcPr>
            <w:tcW w:w="6135" w:type="dxa"/>
            <w:gridSpan w:val="5"/>
            <w:tcBorders>
              <w:top w:val="nil"/>
              <w:left w:val="nil"/>
              <w:bottom w:val="single" w:sz="8" w:space="0" w:color="auto"/>
              <w:right w:val="nil"/>
            </w:tcBorders>
            <w:shd w:val="clear" w:color="auto" w:fill="auto"/>
            <w:noWrap/>
            <w:vAlign w:val="bottom"/>
            <w:hideMark/>
          </w:tcPr>
          <w:p w:rsidR="002F1C54" w:rsidRPr="0074636C" w:rsidRDefault="002F1C54" w:rsidP="00D73F13">
            <w:pPr>
              <w:rPr>
                <w:rFonts w:ascii="Garamond" w:hAnsi="Garamond"/>
                <w:b/>
                <w:bCs/>
                <w:color w:val="000000"/>
                <w:sz w:val="20"/>
                <w:szCs w:val="20"/>
                <w:lang w:eastAsia="en-US"/>
              </w:rPr>
            </w:pPr>
            <w:r w:rsidRPr="0074636C">
              <w:rPr>
                <w:rFonts w:ascii="Garamond" w:hAnsi="Garamond"/>
                <w:b/>
                <w:bCs/>
                <w:color w:val="000000"/>
                <w:sz w:val="20"/>
                <w:szCs w:val="20"/>
                <w:lang w:eastAsia="en-US"/>
              </w:rPr>
              <w:t>Caratteristiche medie all'interno di ogni gruppo.</w:t>
            </w:r>
          </w:p>
        </w:tc>
        <w:tc>
          <w:tcPr>
            <w:tcW w:w="1656" w:type="dxa"/>
            <w:gridSpan w:val="3"/>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c>
          <w:tcPr>
            <w:tcW w:w="124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c>
          <w:tcPr>
            <w:tcW w:w="80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r>
      <w:tr w:rsidR="002F1C54" w:rsidRPr="0074636C" w:rsidTr="00D73F13">
        <w:trPr>
          <w:trHeight w:val="60"/>
          <w:jc w:val="center"/>
        </w:trPr>
        <w:tc>
          <w:tcPr>
            <w:tcW w:w="1185"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GRUPPO</w:t>
            </w: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 </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Ditte individuali e personali</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Diffusione artigianato</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Esercizi di vicinato</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Agricoltura</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Edilizia</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Alberghiero</w:t>
            </w:r>
          </w:p>
        </w:tc>
      </w:tr>
      <w:tr w:rsidR="002F1C54" w:rsidRPr="0074636C" w:rsidTr="00D73F13">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1</w:t>
            </w:r>
          </w:p>
        </w:tc>
        <w:tc>
          <w:tcPr>
            <w:tcW w:w="108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58,9</w:t>
            </w:r>
          </w:p>
        </w:tc>
        <w:tc>
          <w:tcPr>
            <w:tcW w:w="126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22,6</w:t>
            </w:r>
          </w:p>
        </w:tc>
        <w:tc>
          <w:tcPr>
            <w:tcW w:w="117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9,1</w:t>
            </w:r>
          </w:p>
        </w:tc>
        <w:tc>
          <w:tcPr>
            <w:tcW w:w="1206"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1,3</w:t>
            </w:r>
          </w:p>
        </w:tc>
        <w:tc>
          <w:tcPr>
            <w:tcW w:w="110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14,2</w:t>
            </w:r>
          </w:p>
        </w:tc>
        <w:tc>
          <w:tcPr>
            <w:tcW w:w="121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5,8</w:t>
            </w:r>
          </w:p>
        </w:tc>
      </w:tr>
      <w:tr w:rsidR="002F1C54" w:rsidRPr="0074636C" w:rsidTr="00D73F13">
        <w:trPr>
          <w:trHeight w:val="270"/>
          <w:jc w:val="center"/>
        </w:trPr>
        <w:tc>
          <w:tcPr>
            <w:tcW w:w="1185" w:type="dxa"/>
            <w:vMerge/>
            <w:tcBorders>
              <w:top w:val="nil"/>
              <w:left w:val="nil"/>
              <w:bottom w:val="single" w:sz="8" w:space="0" w:color="000000"/>
              <w:right w:val="nil"/>
            </w:tcBorders>
            <w:vAlign w:val="center"/>
            <w:hideMark/>
          </w:tcPr>
          <w:p w:rsidR="002F1C54" w:rsidRPr="0074636C" w:rsidRDefault="002F1C54" w:rsidP="00D73F13">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r>
      <w:tr w:rsidR="002F1C54" w:rsidRPr="0074636C" w:rsidTr="00D73F13">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2</w:t>
            </w:r>
          </w:p>
        </w:tc>
        <w:tc>
          <w:tcPr>
            <w:tcW w:w="108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75,4</w:t>
            </w:r>
          </w:p>
        </w:tc>
        <w:tc>
          <w:tcPr>
            <w:tcW w:w="126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36,7</w:t>
            </w:r>
          </w:p>
        </w:tc>
        <w:tc>
          <w:tcPr>
            <w:tcW w:w="117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8,6</w:t>
            </w:r>
          </w:p>
        </w:tc>
        <w:tc>
          <w:tcPr>
            <w:tcW w:w="1206"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4,9</w:t>
            </w:r>
          </w:p>
        </w:tc>
        <w:tc>
          <w:tcPr>
            <w:tcW w:w="110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19,7</w:t>
            </w:r>
          </w:p>
        </w:tc>
        <w:tc>
          <w:tcPr>
            <w:tcW w:w="121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6,4</w:t>
            </w:r>
          </w:p>
        </w:tc>
      </w:tr>
      <w:tr w:rsidR="002F1C54" w:rsidRPr="0074636C" w:rsidTr="00D73F13">
        <w:trPr>
          <w:trHeight w:val="270"/>
          <w:jc w:val="center"/>
        </w:trPr>
        <w:tc>
          <w:tcPr>
            <w:tcW w:w="1185" w:type="dxa"/>
            <w:vMerge/>
            <w:tcBorders>
              <w:top w:val="nil"/>
              <w:left w:val="nil"/>
              <w:bottom w:val="single" w:sz="8" w:space="0" w:color="000000"/>
              <w:right w:val="nil"/>
            </w:tcBorders>
            <w:vAlign w:val="center"/>
            <w:hideMark/>
          </w:tcPr>
          <w:p w:rsidR="002F1C54" w:rsidRPr="0074636C" w:rsidRDefault="002F1C54" w:rsidP="00D73F13">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1,9</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0,9</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2,0</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0,8</w:t>
            </w:r>
          </w:p>
        </w:tc>
      </w:tr>
      <w:tr w:rsidR="002F1C54" w:rsidRPr="0074636C" w:rsidTr="00D73F13">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3</w:t>
            </w:r>
          </w:p>
        </w:tc>
        <w:tc>
          <w:tcPr>
            <w:tcW w:w="108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80,8</w:t>
            </w:r>
          </w:p>
        </w:tc>
        <w:tc>
          <w:tcPr>
            <w:tcW w:w="126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43,2</w:t>
            </w:r>
          </w:p>
        </w:tc>
        <w:tc>
          <w:tcPr>
            <w:tcW w:w="117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8,3</w:t>
            </w:r>
          </w:p>
        </w:tc>
        <w:tc>
          <w:tcPr>
            <w:tcW w:w="1206"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9,2</w:t>
            </w:r>
          </w:p>
        </w:tc>
        <w:tc>
          <w:tcPr>
            <w:tcW w:w="110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22,5</w:t>
            </w:r>
          </w:p>
        </w:tc>
        <w:tc>
          <w:tcPr>
            <w:tcW w:w="121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6,2</w:t>
            </w:r>
          </w:p>
        </w:tc>
      </w:tr>
      <w:tr w:rsidR="002F1C54" w:rsidRPr="0074636C" w:rsidTr="00D73F13">
        <w:trPr>
          <w:trHeight w:val="270"/>
          <w:jc w:val="center"/>
        </w:trPr>
        <w:tc>
          <w:tcPr>
            <w:tcW w:w="1185" w:type="dxa"/>
            <w:vMerge/>
            <w:tcBorders>
              <w:top w:val="nil"/>
              <w:left w:val="nil"/>
              <w:bottom w:val="single" w:sz="8" w:space="0" w:color="000000"/>
              <w:right w:val="nil"/>
            </w:tcBorders>
            <w:vAlign w:val="center"/>
            <w:hideMark/>
          </w:tcPr>
          <w:p w:rsidR="002F1C54" w:rsidRPr="0074636C" w:rsidRDefault="002F1C54" w:rsidP="00D73F13">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r>
      <w:tr w:rsidR="002F1C54" w:rsidRPr="0074636C" w:rsidTr="00D73F13">
        <w:trPr>
          <w:trHeight w:val="255"/>
          <w:jc w:val="center"/>
        </w:trPr>
        <w:tc>
          <w:tcPr>
            <w:tcW w:w="1185" w:type="dxa"/>
            <w:vMerge w:val="restart"/>
            <w:tcBorders>
              <w:top w:val="nil"/>
              <w:left w:val="nil"/>
              <w:bottom w:val="single" w:sz="8" w:space="0" w:color="000000"/>
              <w:right w:val="nil"/>
            </w:tcBorders>
            <w:shd w:val="clear" w:color="auto" w:fill="auto"/>
            <w:noWrap/>
            <w:vAlign w:val="center"/>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4</w:t>
            </w:r>
          </w:p>
        </w:tc>
        <w:tc>
          <w:tcPr>
            <w:tcW w:w="108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83,8</w:t>
            </w:r>
          </w:p>
        </w:tc>
        <w:tc>
          <w:tcPr>
            <w:tcW w:w="126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40,0</w:t>
            </w:r>
          </w:p>
        </w:tc>
        <w:tc>
          <w:tcPr>
            <w:tcW w:w="117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10,7</w:t>
            </w:r>
          </w:p>
        </w:tc>
        <w:tc>
          <w:tcPr>
            <w:tcW w:w="1206"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18,2</w:t>
            </w:r>
          </w:p>
        </w:tc>
        <w:tc>
          <w:tcPr>
            <w:tcW w:w="1100"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18,4</w:t>
            </w:r>
          </w:p>
        </w:tc>
        <w:tc>
          <w:tcPr>
            <w:tcW w:w="121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7,4</w:t>
            </w:r>
          </w:p>
        </w:tc>
      </w:tr>
      <w:tr w:rsidR="002F1C54" w:rsidRPr="0074636C" w:rsidTr="00D73F13">
        <w:trPr>
          <w:trHeight w:val="270"/>
          <w:jc w:val="center"/>
        </w:trPr>
        <w:tc>
          <w:tcPr>
            <w:tcW w:w="1185" w:type="dxa"/>
            <w:vMerge/>
            <w:tcBorders>
              <w:top w:val="nil"/>
              <w:left w:val="nil"/>
              <w:bottom w:val="single" w:sz="8" w:space="0" w:color="000000"/>
              <w:right w:val="nil"/>
            </w:tcBorders>
            <w:vAlign w:val="center"/>
            <w:hideMark/>
          </w:tcPr>
          <w:p w:rsidR="002F1C54" w:rsidRPr="0074636C" w:rsidRDefault="002F1C54" w:rsidP="00D73F13">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0,4</w:t>
            </w:r>
          </w:p>
        </w:tc>
        <w:tc>
          <w:tcPr>
            <w:tcW w:w="1260"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2,3</w:t>
            </w:r>
          </w:p>
        </w:tc>
        <w:tc>
          <w:tcPr>
            <w:tcW w:w="117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w:t>
            </w:r>
          </w:p>
        </w:tc>
        <w:tc>
          <w:tcPr>
            <w:tcW w:w="1206" w:type="dxa"/>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0,8</w:t>
            </w:r>
          </w:p>
        </w:tc>
        <w:tc>
          <w:tcPr>
            <w:tcW w:w="1214" w:type="dxa"/>
            <w:gridSpan w:val="2"/>
            <w:tcBorders>
              <w:top w:val="nil"/>
              <w:left w:val="nil"/>
              <w:bottom w:val="single" w:sz="8" w:space="0" w:color="auto"/>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2,6</w:t>
            </w:r>
          </w:p>
        </w:tc>
      </w:tr>
      <w:tr w:rsidR="002F1C54" w:rsidRPr="0074636C" w:rsidTr="00D73F13">
        <w:trPr>
          <w:trHeight w:val="60"/>
          <w:jc w:val="center"/>
        </w:trPr>
        <w:tc>
          <w:tcPr>
            <w:tcW w:w="7791" w:type="dxa"/>
            <w:gridSpan w:val="8"/>
            <w:tcBorders>
              <w:top w:val="nil"/>
              <w:left w:val="nil"/>
              <w:bottom w:val="nil"/>
              <w:right w:val="nil"/>
            </w:tcBorders>
            <w:shd w:val="clear" w:color="auto" w:fill="auto"/>
            <w:noWrap/>
            <w:vAlign w:val="bottom"/>
            <w:hideMark/>
          </w:tcPr>
          <w:p w:rsidR="002F1C54" w:rsidRPr="0074636C" w:rsidRDefault="002F1C54" w:rsidP="00D73F13">
            <w:pPr>
              <w:rPr>
                <w:rFonts w:ascii="Garamond" w:hAnsi="Garamond"/>
                <w:b/>
                <w:bCs/>
                <w:color w:val="000000"/>
                <w:sz w:val="18"/>
                <w:szCs w:val="18"/>
                <w:lang w:eastAsia="en-US"/>
              </w:rPr>
            </w:pPr>
            <w:r w:rsidRPr="0074636C">
              <w:rPr>
                <w:rFonts w:ascii="Garamond" w:hAnsi="Garamond"/>
                <w:b/>
                <w:bCs/>
                <w:color w:val="000000"/>
                <w:sz w:val="18"/>
                <w:szCs w:val="18"/>
                <w:lang w:eastAsia="en-US"/>
              </w:rPr>
              <w:t>Fonte: Elaborazione IRES Morosini su dati ASR Lombardia</w:t>
            </w:r>
          </w:p>
        </w:tc>
        <w:tc>
          <w:tcPr>
            <w:tcW w:w="1244" w:type="dxa"/>
            <w:gridSpan w:val="2"/>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p>
        </w:tc>
        <w:tc>
          <w:tcPr>
            <w:tcW w:w="800" w:type="dxa"/>
            <w:tcBorders>
              <w:top w:val="nil"/>
              <w:left w:val="nil"/>
              <w:bottom w:val="nil"/>
              <w:right w:val="nil"/>
            </w:tcBorders>
            <w:shd w:val="clear" w:color="auto" w:fill="auto"/>
            <w:noWrap/>
            <w:vAlign w:val="bottom"/>
            <w:hideMark/>
          </w:tcPr>
          <w:p w:rsidR="002F1C54" w:rsidRPr="0074636C" w:rsidRDefault="002F1C54" w:rsidP="00D73F13">
            <w:pPr>
              <w:jc w:val="center"/>
              <w:rPr>
                <w:rFonts w:ascii="Garamond" w:hAnsi="Garamond"/>
                <w:color w:val="000000"/>
                <w:sz w:val="20"/>
                <w:szCs w:val="20"/>
                <w:lang w:eastAsia="en-US"/>
              </w:rPr>
            </w:pPr>
          </w:p>
        </w:tc>
      </w:tr>
    </w:tbl>
    <w:p w:rsidR="002F1C54" w:rsidRDefault="002F1C54" w:rsidP="002F1C54">
      <w:pPr>
        <w:spacing w:line="360" w:lineRule="auto"/>
        <w:jc w:val="both"/>
      </w:pPr>
    </w:p>
    <w:p w:rsidR="002F1C54" w:rsidRPr="00BA54F1" w:rsidRDefault="002F1C54" w:rsidP="002F1C54">
      <w:pPr>
        <w:spacing w:line="360" w:lineRule="auto"/>
        <w:jc w:val="both"/>
      </w:pPr>
    </w:p>
    <w:p w:rsidR="002F1C54" w:rsidRPr="00BA54F1" w:rsidRDefault="002F1C54" w:rsidP="002F1C54">
      <w:pPr>
        <w:spacing w:line="360" w:lineRule="auto"/>
        <w:jc w:val="both"/>
      </w:pPr>
      <w:r>
        <w:t>Fatta questa introduzione relativa alla diffusione a livello provinciale dei fattori che la letteratura ha indicato essere maggiormente correlati con il rischio di evasione, é possibile ipotizzare quindi che tale indicatore di rischio di evasione che andremo a creare nelle sezioni successive mostrerà valori più elevati (almeno in media) all’interno del gruppo 3 e 4.</w:t>
      </w: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Pr="00BA54F1" w:rsidRDefault="002F1C54" w:rsidP="002F1C54">
      <w:pPr>
        <w:spacing w:line="360" w:lineRule="auto"/>
        <w:jc w:val="both"/>
      </w:pPr>
    </w:p>
    <w:p w:rsidR="002F1C54" w:rsidRPr="00BA54F1" w:rsidRDefault="002F1C54" w:rsidP="002F1C54">
      <w:pPr>
        <w:spacing w:line="360" w:lineRule="auto"/>
        <w:jc w:val="both"/>
      </w:pPr>
    </w:p>
    <w:p w:rsidR="002F1C54" w:rsidRPr="006A3140" w:rsidRDefault="002F1C54" w:rsidP="002F1C54">
      <w:pPr>
        <w:pStyle w:val="Titolo1"/>
        <w:spacing w:before="0"/>
      </w:pPr>
      <w:bookmarkStart w:id="4" w:name="_Toc359506052"/>
      <w:r w:rsidRPr="006A3140">
        <w:lastRenderedPageBreak/>
        <w:t>Le stime dell’economia sommersa</w:t>
      </w:r>
      <w:bookmarkEnd w:id="4"/>
    </w:p>
    <w:p w:rsidR="002F1C54" w:rsidRPr="00EF3623" w:rsidRDefault="002F1C54" w:rsidP="002F1C54">
      <w:pPr>
        <w:spacing w:line="360" w:lineRule="auto"/>
        <w:jc w:val="both"/>
        <w:rPr>
          <w:smallCaps/>
        </w:rPr>
      </w:pPr>
    </w:p>
    <w:p w:rsidR="002F1C54" w:rsidRDefault="002F1C54" w:rsidP="002F1C54">
      <w:pPr>
        <w:spacing w:line="360" w:lineRule="auto"/>
        <w:jc w:val="both"/>
      </w:pPr>
      <w:r>
        <w:t xml:space="preserve">Per quanto concerne il tema dell’economia sommersa e dell’evasione fiscale esistono diverse stime legate al tipo di entità o di imposta presa in esame. I dati ai quali faremo riferimento sono la stima dell’economia sommersa prodotta dall’ISTAT e l’analisi dell’evasione fiscale basata sull’IVA e sull’IRAP prodotta, invece, dall’Agenzia delle Entrate. Purtroppo, stime a livello regionale e soprattutto provinciale (fatta eccezione per il dato relativo all’IRAP) non vengono fornite. Pertanto, all’interno di questo studio cercheremo di ovviare a questa grave carenza (data l’importanza che potrebbe assumere la conoscenza di tali entità a livello locale) stimando indirettamente il rischio di evasione all’interno della regione Lombardia. Inoltre, accanto al dato regionale e provinciale, sarà proposta una stima del rischio di evasione a livello locale per quanto concerne i comuni della provincia di Bergamo. Data però la complessità dei modelli e l’impossibilità di fruire di tutti i dati necessari per poter stimare il livello di evasione fiscale a livello locale, faremo ricorso ad una metodologia alternativa già applicata in altre ricerche sul tema, la quale permette di individuare il potenziale “rischio di evasione” presente in un preciso territorio in rapporto con le altre realtà considerate [Unioncamere Veneto, 2011]. Differentemente dallo studio precedentemente citato, </w:t>
      </w:r>
      <w:r w:rsidRPr="00CF67B5">
        <w:t>abbiamo deciso di modificare e aggiungere alcune voci utilizzate per definire il livello di benessere locale. Il dato dei consumi alimentari, data l’incapacit</w:t>
      </w:r>
      <w:r>
        <w:t>à</w:t>
      </w:r>
      <w:r w:rsidRPr="00CF67B5">
        <w:t xml:space="preserve"> a misurare correttamente il livello di ricchezza in quanto legato all’acquisizione di beni primari (simili quindi tra ricchi e poveri) é stato sostituito con quello dei consumi di beni e servizi al netto della spesa per alimentari. Inoltre, sono state aggiunte informazioni relative al mercato immobiliare, dato il ruolo strategico che ricopre negli investimenti delle famiglie. Attraverso il nostro metodo invece andiamo a definire una “classifica” del rischio di evasione tra le realt</w:t>
      </w:r>
      <w:r>
        <w:t>à</w:t>
      </w:r>
      <w:r w:rsidRPr="00CF67B5">
        <w:t xml:space="preserve"> territoriali prese in considerazione. </w:t>
      </w:r>
    </w:p>
    <w:p w:rsidR="002F1C54" w:rsidRDefault="002F1C54" w:rsidP="002F1C54">
      <w:pPr>
        <w:spacing w:line="360" w:lineRule="auto"/>
        <w:jc w:val="both"/>
      </w:pPr>
    </w:p>
    <w:p w:rsidR="002F1C54" w:rsidRDefault="002F1C54" w:rsidP="002F1C54">
      <w:pPr>
        <w:spacing w:line="360" w:lineRule="auto"/>
        <w:jc w:val="both"/>
      </w:pPr>
      <w:r>
        <w:t xml:space="preserve">Esiste poi una profonda differenza tra il nostro studio e quelli condotti in precedenza sul tema che risulta essere determinante nella correttezza del risultato finale. Gli studi precedenti hanno utilizzato come indicatore della ricchezza del territorio (da confrontare con il valore dei consumi) il dato prodotto dall’Istituto Tagliacarne relativo al reddito famigliare pro-capite. Il problema di fondo di questo dato (come sarà spiegato in maniera più approfondita nella sezione sottostante) é che registra al proprio interno la ricchezza prodotta dall’economia sommersa. Di conseguenza, i valori ottenuti usando questo dato risultano essere profondamente distorti. Infatti, il confronto tra ricchezza posseduta (dichiarata e non) e consumi non permetterebbe di osservare alcun livello di evasione. Pertanto, all’interno di questa indagine faremo uso del dato relativo al reddito IRPEF ufficialmente </w:t>
      </w:r>
      <w:r>
        <w:lastRenderedPageBreak/>
        <w:t>dichiarato al fisco. Tutte le conseguenze di tipo metodologico relative a questa scelta saranno trattate in modo più approfondito nella sezione sottostante.</w:t>
      </w:r>
    </w:p>
    <w:p w:rsidR="002F1C54" w:rsidRDefault="002F1C54" w:rsidP="002F1C54">
      <w:pPr>
        <w:pStyle w:val="Titolo2"/>
        <w:spacing w:before="0" w:line="360" w:lineRule="auto"/>
        <w:rPr>
          <w:rFonts w:ascii="Times New Roman" w:hAnsi="Times New Roman" w:cs="Times New Roman"/>
          <w:color w:val="auto"/>
          <w:sz w:val="24"/>
          <w:szCs w:val="24"/>
        </w:rPr>
      </w:pPr>
    </w:p>
    <w:p w:rsidR="002F1C54" w:rsidRPr="00125C2A" w:rsidRDefault="002F1C54" w:rsidP="002F1C54">
      <w:pPr>
        <w:pStyle w:val="Titolo2"/>
        <w:spacing w:before="0" w:line="360" w:lineRule="auto"/>
        <w:rPr>
          <w:rFonts w:ascii="Times New Roman" w:hAnsi="Times New Roman" w:cs="Times New Roman"/>
          <w:color w:val="auto"/>
          <w:sz w:val="24"/>
          <w:szCs w:val="24"/>
        </w:rPr>
      </w:pPr>
      <w:bookmarkStart w:id="5" w:name="_Toc359506053"/>
      <w:r w:rsidRPr="00125C2A">
        <w:rPr>
          <w:rFonts w:ascii="Times New Roman" w:hAnsi="Times New Roman" w:cs="Times New Roman"/>
          <w:color w:val="auto"/>
          <w:sz w:val="24"/>
          <w:szCs w:val="24"/>
        </w:rPr>
        <w:t>Metodologia:</w:t>
      </w:r>
      <w:bookmarkEnd w:id="5"/>
    </w:p>
    <w:p w:rsidR="002F1C54" w:rsidRDefault="002F1C54" w:rsidP="002F1C54">
      <w:pPr>
        <w:spacing w:line="360" w:lineRule="auto"/>
        <w:jc w:val="both"/>
        <w:rPr>
          <w:b/>
        </w:rPr>
      </w:pPr>
    </w:p>
    <w:p w:rsidR="002F1C54" w:rsidRDefault="002F1C54" w:rsidP="002F1C54">
      <w:pPr>
        <w:spacing w:line="360" w:lineRule="auto"/>
        <w:jc w:val="both"/>
      </w:pPr>
      <w:r>
        <w:t xml:space="preserve">La stima del rischio di evasione a livello locale sarà il prodotto della differenza tra il livello reddituale dichiarato di un territorio e il benessere/livello di consumo effettivo dell’area in analisi, vale a dire, all’interno di un ipotetico bilancio, lo scarto tra il livello delle entrate dichiarate e il livello di consumi effettivi medi registrati in quei territori. Infatti, sarebbe erroneo definire l’entità evasa all’interno di un territorio solamente in funzione della popolazione del comune, ipotizzando che realtà territoriali diverse presentino la medesima propensione all’evasione solo perché inserite nella medesima provincia o regione. </w:t>
      </w:r>
    </w:p>
    <w:p w:rsidR="002F1C54" w:rsidRDefault="002F1C54" w:rsidP="002F1C54">
      <w:pPr>
        <w:spacing w:line="360" w:lineRule="auto"/>
        <w:jc w:val="both"/>
      </w:pPr>
      <w:r>
        <w:t xml:space="preserve">Per quanto concerne la struttura degli indicatori utilizzati, la prima voce è rappresentata dai valori relativi al reddito Irpef fornito dal Ministero dell’Economia e delle finanze. La scelta di non utilizzare il dato del reddito disponibile famigliare pro-capite fornito dall’Istituto Tagliacarne usando i conti economici territoriali é dettato dalla presenza di un problema di fondo in questo dato. La voce del reddito disponibile si compone di diversi aspetti che, se da un lato permettono di ricomprendere nel dato tutte le potenziali fonti di reddito, al netto delle uscite, dall’altro risentono della presenza della ricchezza prodotta dall’economia sommersa in quanto i dati dell’Istat sono esaustivi, vale a dire calcolano al proprio interno anche il valore aggiunto prodotto dal sommerso. </w:t>
      </w:r>
    </w:p>
    <w:p w:rsidR="002F1C54" w:rsidRDefault="002F1C54" w:rsidP="002F1C54">
      <w:pPr>
        <w:spacing w:line="360" w:lineRule="auto"/>
        <w:jc w:val="both"/>
      </w:pPr>
      <w:r>
        <w:t xml:space="preserve">Il reddito disponibile é composto dalla somma del risultato lordo di gestione, redditi misti, redditi da lavoro dipendente, redditi da capitale netti, prestazioni sociali e tutti i trasferimenti fruiti dalle famiglie. A questo dato, viene sottratto il valore delle imposte correnti e i contributi sociali. Nel caso del reddito Irpef, invece, se da un lato sconta il fatto di non ricomprendere tutte le voci reddituali, dall’altro misura solamente la ricchezza effettivamente dichiarata al fisco. </w:t>
      </w:r>
    </w:p>
    <w:p w:rsidR="002F1C54" w:rsidRDefault="002F1C54" w:rsidP="002F1C54">
      <w:pPr>
        <w:spacing w:line="360" w:lineRule="auto"/>
        <w:jc w:val="both"/>
      </w:pPr>
      <w:r>
        <w:t xml:space="preserve">Esiste poi un altro aspetto da considerare nello studio in corso che fa si che il fatto che non siano ricomprese tutte le voci della ricchezza prodotta da un territorio non generino distorsioni nei risultati. L’indicatore di rischio di evasione non si prefigge il compito di misurare la ricchezza dichiarata e i consumi effettivi in termini numerici da confrontare, ma si pone l’obiettivo di calcolare la differenza tra la condizione, della realtà territoriale, per quanto concerne la ricchezza dichiarata rispetto al dato medio e la condizione rispetto alla media per quanto concerne i consumi. Vale a dire, una provincia che rispetto alle altre si posizione al di sotto della media relativamente alla ricchezza dichiarata e poi al di sopra della media per quanto concerne i consumi registrerà un valore nell’indice di rischio di evasione fortemente negativo, vale a dire ad alta propensione </w:t>
      </w:r>
      <w:r>
        <w:lastRenderedPageBreak/>
        <w:t xml:space="preserve">all’evasione. Proprio perché lo studio non fa riferimento a valori assoluti, ma ai rapporti tra le varie aree considerate, il fatto di usare il reddito Irpef non produce distorsioni, in quanto sottostima il reddito reale delle persone allo stesso modo in tutte le province.   </w:t>
      </w:r>
    </w:p>
    <w:p w:rsidR="002F1C54" w:rsidRDefault="002F1C54" w:rsidP="002F1C54">
      <w:pPr>
        <w:spacing w:line="360" w:lineRule="auto"/>
        <w:jc w:val="both"/>
      </w:pPr>
      <w:r>
        <w:t xml:space="preserve">L’indicatore dei consumi invece si compone di 10 item: 1) i consumi finali interni relativi all’acquisto di beni e servizi, senza il dato relativo agli alimentari, 2) i consumi di gas naturale, 3) i consumi di benzina e gasolio su rete ordinaria, 4) le tonnellate di rifiuti prodotti (come indicatore indiretto dei consumi), 5) i costi relativi alla gestione dei rifiuti, 6) il numero di auto immatricolate, 7) il numero di auto vendute con oltre 2500 cc, 8) il volume delle compravendite degli immobili residenziali, 9) il volume delle compravendite degli immobili non residenziali e 10) i depositi bancari. </w:t>
      </w:r>
    </w:p>
    <w:p w:rsidR="002F1C54" w:rsidRDefault="002F1C54" w:rsidP="002F1C54">
      <w:pPr>
        <w:spacing w:line="360" w:lineRule="auto"/>
        <w:jc w:val="both"/>
        <w:rPr>
          <w:b/>
        </w:rPr>
      </w:pPr>
    </w:p>
    <w:p w:rsidR="002F1C54" w:rsidRPr="00125C2A" w:rsidRDefault="002F1C54" w:rsidP="002F1C54">
      <w:pPr>
        <w:pStyle w:val="Titolo2"/>
        <w:spacing w:before="0" w:line="360" w:lineRule="auto"/>
        <w:rPr>
          <w:rFonts w:ascii="Times New Roman" w:hAnsi="Times New Roman" w:cs="Times New Roman"/>
          <w:color w:val="auto"/>
          <w:sz w:val="24"/>
          <w:szCs w:val="24"/>
        </w:rPr>
      </w:pPr>
      <w:bookmarkStart w:id="6" w:name="_Toc359506054"/>
      <w:r w:rsidRPr="00125C2A">
        <w:rPr>
          <w:rFonts w:ascii="Times New Roman" w:hAnsi="Times New Roman" w:cs="Times New Roman"/>
          <w:color w:val="auto"/>
          <w:sz w:val="24"/>
          <w:szCs w:val="24"/>
        </w:rPr>
        <w:t>Il sommerso economico stimato dall’ISTAT</w:t>
      </w:r>
      <w:bookmarkEnd w:id="6"/>
    </w:p>
    <w:p w:rsidR="002F1C54" w:rsidRDefault="002F1C54" w:rsidP="002F1C54">
      <w:pPr>
        <w:spacing w:line="360" w:lineRule="auto"/>
        <w:jc w:val="both"/>
      </w:pPr>
    </w:p>
    <w:p w:rsidR="002F1C54" w:rsidRDefault="002F1C54" w:rsidP="002F1C54">
      <w:pPr>
        <w:spacing w:line="360" w:lineRule="auto"/>
        <w:jc w:val="both"/>
      </w:pPr>
      <w:r>
        <w:t>Annualmente, anche se solo a livello nazionale, l’ISTAT pubblica le stime del PIL e dell’occupazione</w:t>
      </w:r>
      <w:r>
        <w:rPr>
          <w:rStyle w:val="Rimandonotaapidipagina"/>
        </w:rPr>
        <w:footnoteReference w:id="1"/>
      </w:r>
      <w:r>
        <w:t xml:space="preserve"> relative all’economia sommersa. All’interno della categoria “economia non osservata” l’ISTAT comprende tutte le attività economiche che rientrano nella categoria: a) sommerso economico (vale a dire tutte le attività legali che sfuggono all’osservazione diretta a causa di frodi fiscali e contributive, b) produzione del settore informale (attività svolte su piccola scala con limitati livelli di organizzazione, quali le attività domestiche), c) errori statistici (all’interno del quale rientrano tutte le carenze relative alla mancata compilazione da parte delle aziende delle informazioni amministrative richieste), d) attività illegali.</w:t>
      </w:r>
    </w:p>
    <w:p w:rsidR="002F1C54" w:rsidRDefault="002F1C54" w:rsidP="002F1C54">
      <w:pPr>
        <w:spacing w:line="360" w:lineRule="auto"/>
        <w:jc w:val="both"/>
      </w:pPr>
      <w:r>
        <w:t>Sebbene, in linea teorica, tutte queste voci dovrebbero essere contenute all’interno del sistema di Contabilità Nazionale atto a stabilire una misura esaustiva (vale a dire capace di misurare tutte le componenti del PIL, osservate o meno), nella realtà, sia l’ISTAT,  sia gli altri Istituti di statistica Europei non includono il dato relativo alle attività illegali, cioè le attività di produzione di beni e servizi la cui vendita, distribuzione e possesso sono vietati dalla legge. A tale proposito, quindi, è necessario sottolineare come, nel momento in cui si andranno ad analizzare i dati, questa voce non sarà compresa nei risultati</w:t>
      </w:r>
      <w:r>
        <w:rPr>
          <w:rStyle w:val="Rimandonotaapidipagina"/>
        </w:rPr>
        <w:footnoteReference w:id="2"/>
      </w:r>
      <w:r>
        <w:t xml:space="preserve">. </w:t>
      </w:r>
    </w:p>
    <w:p w:rsidR="002F1C54" w:rsidRDefault="002F1C54" w:rsidP="002F1C54">
      <w:pPr>
        <w:spacing w:line="360" w:lineRule="auto"/>
        <w:jc w:val="both"/>
      </w:pPr>
      <w:r>
        <w:t xml:space="preserve">Inoltre, date le oggettive difficoltà a stimare in termini certi l’entità dell’economia sommersa, l’ISTAT fornisce sia un dato minimo, sia uno massimo all’interno del quale rientra il corretto valore dell’economia sommersa. </w:t>
      </w:r>
    </w:p>
    <w:p w:rsidR="002F1C54" w:rsidRDefault="002F1C54" w:rsidP="002F1C54">
      <w:pPr>
        <w:spacing w:line="360" w:lineRule="auto"/>
        <w:jc w:val="both"/>
      </w:pPr>
      <w:r>
        <w:lastRenderedPageBreak/>
        <w:t>Al 2008, dato più recente, il “valore aggiunto prodotto nell’area del sommerso”</w:t>
      </w:r>
      <w:r>
        <w:rPr>
          <w:rStyle w:val="Rimandonotaapidipagina"/>
        </w:rPr>
        <w:footnoteReference w:id="3"/>
      </w:r>
      <w:r>
        <w:t xml:space="preserve"> risultava compreso tra un minimo di 255 miliardi di euro (16,3% del PIL) e 275 miliardi di euro (17,5% del PIL). Come si può osservare, si tratta di un </w:t>
      </w:r>
      <w:r>
        <w:rPr>
          <w:i/>
        </w:rPr>
        <w:t xml:space="preserve">range </w:t>
      </w:r>
      <w:r>
        <w:t>abbastanza limitato, capace quindi di fornire un’idea accurata del fenomeno. Il dato più preoccupante è che a partire dal 2002, dopo una fase di contrazione, il dato relativo all’entità evasa è tornato a crescere, passando da 223 miliardi (ipotesi minima) o 241 miliardi (ipotesi massima) alle cifre precedentemente descritte nel 2008. Pertanto, è possibile osservare che l’impatto dovuto alla crisi economica (che ha accresciuto il rapporto tra evasione e PIL a partire dal 2008, a causa del rallentamento del PIL) è in realtà secondario rispetto a problematiche già presenti negli anni precedenti alla crisi economica.</w:t>
      </w:r>
    </w:p>
    <w:p w:rsidR="002F1C54" w:rsidRDefault="002F1C54" w:rsidP="002F1C54">
      <w:pPr>
        <w:spacing w:line="360" w:lineRule="auto"/>
        <w:jc w:val="both"/>
      </w:pPr>
      <w:r>
        <w:t xml:space="preserve">L’ISTAT inoltre fornisce al 2008 il dato disaggregato per settore economico [Giovannini et al. 2011]. Come mostra la tabella sottostante, il valore aggiunto prodotto dall’area del sommerso risulta presentare marcate differenze all’interno dei vari settori considerando i valori in termini assoluti (entità) o in percentuale sulla ricchezza prodotta nel settore (intensità). Infatti, se nel 2008 il valore aggiunto prodotto dall’area del sommerso in agricoltura in termini assoluti risultava essere pari a 9.188 milioni di euro su un totale di 275.000 milioni (pari a poco più del 3% dell’evasione totale), in termini di intensità sulla ricchezza prodotta nel settore, l’entità dell’evasione raggiungeva la quota del 32,8%, ad indicare una presenza molto diffusa in questo settore del sommerso. Come sottolineato da tutti gli studi svolti sul tema, molto diffuso é anche il sommerso all’interno del settore terziario, nel quale in media la percentuale di valore aggiunto prodotto dall’area del sommerso rappresentava nel 2008 il 20,9% della ricchezza del settore. Da sottolineare come diversamente dal settore agricolo, il settore dei servizi ha registrato un lieve miglioramento nel corso degli ultimi anni. </w:t>
      </w:r>
    </w:p>
    <w:p w:rsidR="002F1C54" w:rsidRDefault="002F1C54" w:rsidP="002F1C54">
      <w:pPr>
        <w:spacing w:line="360" w:lineRule="auto"/>
        <w:jc w:val="both"/>
      </w:pPr>
    </w:p>
    <w:tbl>
      <w:tblPr>
        <w:tblW w:w="9121" w:type="dxa"/>
        <w:jc w:val="center"/>
        <w:tblInd w:w="93" w:type="dxa"/>
        <w:tblLook w:val="04A0"/>
      </w:tblPr>
      <w:tblGrid>
        <w:gridCol w:w="915"/>
        <w:gridCol w:w="1238"/>
        <w:gridCol w:w="1524"/>
        <w:gridCol w:w="894"/>
        <w:gridCol w:w="324"/>
        <w:gridCol w:w="1176"/>
        <w:gridCol w:w="324"/>
        <w:gridCol w:w="894"/>
        <w:gridCol w:w="466"/>
        <w:gridCol w:w="900"/>
        <w:gridCol w:w="466"/>
      </w:tblGrid>
      <w:tr w:rsidR="002F1C54" w:rsidRPr="00046AC9" w:rsidTr="00D73F13">
        <w:trPr>
          <w:gridAfter w:val="1"/>
          <w:wAfter w:w="466" w:type="dxa"/>
          <w:trHeight w:val="80"/>
          <w:jc w:val="center"/>
        </w:trPr>
        <w:tc>
          <w:tcPr>
            <w:tcW w:w="7289" w:type="dxa"/>
            <w:gridSpan w:val="8"/>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Valore aggiunto prodotto nell'area del sommerso economico per settore.</w:t>
            </w:r>
          </w:p>
        </w:tc>
        <w:tc>
          <w:tcPr>
            <w:tcW w:w="1366" w:type="dxa"/>
            <w:gridSpan w:val="2"/>
            <w:tcBorders>
              <w:top w:val="nil"/>
              <w:left w:val="nil"/>
              <w:bottom w:val="single" w:sz="8" w:space="0" w:color="auto"/>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r w:rsidRPr="00BE4A37">
              <w:rPr>
                <w:rFonts w:ascii="Garamond" w:hAnsi="Garamond" w:cs="Calibri"/>
                <w:color w:val="000000"/>
                <w:sz w:val="20"/>
                <w:szCs w:val="20"/>
                <w:lang w:eastAsia="en-US"/>
              </w:rPr>
              <w:t> </w:t>
            </w:r>
          </w:p>
        </w:tc>
      </w:tr>
      <w:tr w:rsidR="002F1C54" w:rsidRPr="00046AC9" w:rsidTr="00D73F13">
        <w:trPr>
          <w:trHeight w:val="60"/>
          <w:jc w:val="center"/>
        </w:trPr>
        <w:tc>
          <w:tcPr>
            <w:tcW w:w="915" w:type="dxa"/>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b/>
                <w:bCs/>
                <w:color w:val="000000"/>
                <w:sz w:val="20"/>
                <w:szCs w:val="20"/>
                <w:lang w:eastAsia="en-US"/>
              </w:rPr>
            </w:pPr>
          </w:p>
        </w:tc>
        <w:tc>
          <w:tcPr>
            <w:tcW w:w="276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Agricoltura</w:t>
            </w:r>
          </w:p>
        </w:tc>
        <w:tc>
          <w:tcPr>
            <w:tcW w:w="271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Industria</w:t>
            </w:r>
          </w:p>
        </w:tc>
        <w:tc>
          <w:tcPr>
            <w:tcW w:w="2726" w:type="dxa"/>
            <w:gridSpan w:val="4"/>
            <w:tcBorders>
              <w:top w:val="single" w:sz="8" w:space="0" w:color="auto"/>
              <w:left w:val="nil"/>
              <w:bottom w:val="single" w:sz="4"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Servizi</w:t>
            </w:r>
          </w:p>
        </w:tc>
      </w:tr>
      <w:tr w:rsidR="002F1C54" w:rsidRPr="00046AC9" w:rsidTr="00D73F13">
        <w:trPr>
          <w:trHeight w:val="70"/>
          <w:jc w:val="center"/>
        </w:trPr>
        <w:tc>
          <w:tcPr>
            <w:tcW w:w="915"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w:t>
            </w:r>
          </w:p>
        </w:tc>
        <w:tc>
          <w:tcPr>
            <w:tcW w:w="1238"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524" w:type="dxa"/>
            <w:tcBorders>
              <w:top w:val="nil"/>
              <w:left w:val="nil"/>
              <w:bottom w:val="single" w:sz="8" w:space="0" w:color="auto"/>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c>
          <w:tcPr>
            <w:tcW w:w="1218"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c>
          <w:tcPr>
            <w:tcW w:w="1360"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366" w:type="dxa"/>
            <w:gridSpan w:val="2"/>
            <w:tcBorders>
              <w:top w:val="nil"/>
              <w:left w:val="nil"/>
              <w:bottom w:val="single" w:sz="8" w:space="0" w:color="auto"/>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r>
      <w:tr w:rsidR="002F1C54" w:rsidRPr="00046AC9" w:rsidTr="00D73F13">
        <w:trPr>
          <w:trHeight w:val="6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2000</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047</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29,7</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995</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14,0</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171</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952</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23,2</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2001</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188</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29,9</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071</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14,9</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184</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691</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23,5</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2002</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739</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28,4</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216</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14,6</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180</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075</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21,9</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2003</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606</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27,5</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50</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630</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13,7</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330</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22,1</w:t>
            </w:r>
          </w:p>
        </w:tc>
      </w:tr>
      <w:tr w:rsidR="002F1C54" w:rsidRPr="00046AC9" w:rsidTr="00D73F13">
        <w:trPr>
          <w:trHeight w:val="95"/>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2004</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463</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29,5</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520</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12,7</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081</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21,8</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2005</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321</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31,1</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784</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11,7</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991</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21,7</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2006</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622</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31,5</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493</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470</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21,3</w:t>
            </w:r>
          </w:p>
        </w:tc>
      </w:tr>
      <w:tr w:rsidR="002F1C54" w:rsidRPr="00046AC9" w:rsidTr="00D73F13">
        <w:trPr>
          <w:trHeight w:val="80"/>
          <w:jc w:val="center"/>
        </w:trPr>
        <w:tc>
          <w:tcPr>
            <w:tcW w:w="91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2007</w:t>
            </w:r>
          </w:p>
        </w:tc>
        <w:tc>
          <w:tcPr>
            <w:tcW w:w="1238"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102</w:t>
            </w:r>
          </w:p>
        </w:tc>
        <w:tc>
          <w:tcPr>
            <w:tcW w:w="1524" w:type="dxa"/>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32,4</w:t>
            </w:r>
          </w:p>
        </w:tc>
        <w:tc>
          <w:tcPr>
            <w:tcW w:w="1218"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698</w:t>
            </w:r>
          </w:p>
        </w:tc>
        <w:tc>
          <w:tcPr>
            <w:tcW w:w="1500" w:type="dxa"/>
            <w:gridSpan w:val="2"/>
            <w:tcBorders>
              <w:top w:val="nil"/>
              <w:left w:val="nil"/>
              <w:bottom w:val="nil"/>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494</w:t>
            </w:r>
          </w:p>
        </w:tc>
        <w:tc>
          <w:tcPr>
            <w:tcW w:w="1366"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20,9</w:t>
            </w:r>
          </w:p>
        </w:tc>
      </w:tr>
      <w:tr w:rsidR="002F1C54" w:rsidRPr="00046AC9" w:rsidTr="00D73F13">
        <w:trPr>
          <w:trHeight w:val="80"/>
          <w:jc w:val="center"/>
        </w:trPr>
        <w:tc>
          <w:tcPr>
            <w:tcW w:w="915"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2008</w:t>
            </w:r>
          </w:p>
        </w:tc>
        <w:tc>
          <w:tcPr>
            <w:tcW w:w="1238"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188</w:t>
            </w:r>
          </w:p>
        </w:tc>
        <w:tc>
          <w:tcPr>
            <w:tcW w:w="1524" w:type="dxa"/>
            <w:tcBorders>
              <w:top w:val="nil"/>
              <w:left w:val="nil"/>
              <w:bottom w:val="single" w:sz="8" w:space="0" w:color="auto"/>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32,8</w:t>
            </w:r>
          </w:p>
        </w:tc>
        <w:tc>
          <w:tcPr>
            <w:tcW w:w="1218"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881</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12,4</w:t>
            </w:r>
          </w:p>
        </w:tc>
        <w:tc>
          <w:tcPr>
            <w:tcW w:w="1360"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978</w:t>
            </w:r>
          </w:p>
        </w:tc>
        <w:tc>
          <w:tcPr>
            <w:tcW w:w="1366"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20,9</w:t>
            </w:r>
          </w:p>
        </w:tc>
      </w:tr>
      <w:tr w:rsidR="002F1C54" w:rsidRPr="00046AC9" w:rsidTr="00D73F13">
        <w:trPr>
          <w:gridAfter w:val="1"/>
          <w:wAfter w:w="466" w:type="dxa"/>
          <w:trHeight w:val="60"/>
          <w:jc w:val="center"/>
        </w:trPr>
        <w:tc>
          <w:tcPr>
            <w:tcW w:w="4571" w:type="dxa"/>
            <w:gridSpan w:val="4"/>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color w:val="000000"/>
                <w:sz w:val="20"/>
                <w:szCs w:val="20"/>
                <w:lang w:eastAsia="en-US"/>
              </w:rPr>
            </w:pPr>
            <w:r w:rsidRPr="00BE4A37">
              <w:rPr>
                <w:rFonts w:ascii="Garamond" w:hAnsi="Garamond" w:cs="Calibri"/>
                <w:b/>
                <w:bCs/>
                <w:color w:val="000000"/>
                <w:sz w:val="18"/>
                <w:szCs w:val="18"/>
                <w:lang w:eastAsia="en-US"/>
              </w:rPr>
              <w:t>Fonte: dati estratti da Giovannini et al. 2011</w:t>
            </w:r>
          </w:p>
        </w:tc>
        <w:tc>
          <w:tcPr>
            <w:tcW w:w="1500"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218"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366"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r>
    </w:tbl>
    <w:p w:rsidR="002F1C54" w:rsidRPr="00BE4A37" w:rsidRDefault="002F1C54" w:rsidP="002F1C54">
      <w:pPr>
        <w:spacing w:line="360" w:lineRule="auto"/>
        <w:jc w:val="both"/>
      </w:pPr>
    </w:p>
    <w:p w:rsidR="002F1C54" w:rsidRDefault="002F1C54" w:rsidP="002F1C54">
      <w:pPr>
        <w:spacing w:line="360" w:lineRule="auto"/>
        <w:jc w:val="both"/>
      </w:pPr>
      <w:r>
        <w:t xml:space="preserve">In ogni caso, in termini di intensità, all’interno del settore dei servizi risulta ancora essere prodotto il 77,4% del valore aggiunto sommerso (dato in lieve calo rispetto al picco del 2005, 78,7%, ma </w:t>
      </w:r>
      <w:r>
        <w:lastRenderedPageBreak/>
        <w:t xml:space="preserve">superiore al dato di inizio decennio). Si conferma invece il livello più contenuto relativo al settore industriale all’interno del quale solamente il 12,4% del valore aggiunto prodotto risulta derivare dall’economia sommersa. </w:t>
      </w:r>
    </w:p>
    <w:p w:rsidR="002F1C54" w:rsidRDefault="002F1C54" w:rsidP="002F1C54">
      <w:pPr>
        <w:spacing w:line="360" w:lineRule="auto"/>
        <w:jc w:val="both"/>
      </w:pPr>
    </w:p>
    <w:tbl>
      <w:tblPr>
        <w:tblW w:w="7727" w:type="dxa"/>
        <w:jc w:val="center"/>
        <w:tblInd w:w="93" w:type="dxa"/>
        <w:tblLook w:val="04A0"/>
      </w:tblPr>
      <w:tblGrid>
        <w:gridCol w:w="1005"/>
        <w:gridCol w:w="1789"/>
        <w:gridCol w:w="1742"/>
        <w:gridCol w:w="1276"/>
        <w:gridCol w:w="283"/>
        <w:gridCol w:w="865"/>
        <w:gridCol w:w="767"/>
      </w:tblGrid>
      <w:tr w:rsidR="002F1C54" w:rsidRPr="00046AC9" w:rsidTr="00D73F13">
        <w:trPr>
          <w:gridAfter w:val="1"/>
          <w:wAfter w:w="767" w:type="dxa"/>
          <w:trHeight w:val="80"/>
          <w:jc w:val="center"/>
        </w:trPr>
        <w:tc>
          <w:tcPr>
            <w:tcW w:w="6960" w:type="dxa"/>
            <w:gridSpan w:val="6"/>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Valore aggiunto prodotto nell'area del sommerso economico per settore.</w:t>
            </w:r>
          </w:p>
        </w:tc>
      </w:tr>
      <w:tr w:rsidR="002F1C54" w:rsidRPr="00046AC9" w:rsidTr="00D73F13">
        <w:trPr>
          <w:trHeight w:val="60"/>
          <w:jc w:val="center"/>
        </w:trPr>
        <w:tc>
          <w:tcPr>
            <w:tcW w:w="1005" w:type="dxa"/>
            <w:tcBorders>
              <w:top w:val="nil"/>
              <w:left w:val="nil"/>
              <w:bottom w:val="single" w:sz="8" w:space="0" w:color="auto"/>
              <w:right w:val="nil"/>
            </w:tcBorders>
            <w:shd w:val="clear" w:color="auto" w:fill="auto"/>
            <w:noWrap/>
            <w:vAlign w:val="bottom"/>
            <w:hideMark/>
          </w:tcPr>
          <w:p w:rsidR="002F1C54" w:rsidRPr="00BE4A37" w:rsidRDefault="002F1C54" w:rsidP="00D73F13">
            <w:pPr>
              <w:jc w:val="cente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w:t>
            </w:r>
          </w:p>
        </w:tc>
        <w:tc>
          <w:tcPr>
            <w:tcW w:w="1789"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Agricoltura</w:t>
            </w:r>
          </w:p>
        </w:tc>
        <w:tc>
          <w:tcPr>
            <w:tcW w:w="1742"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Industria</w:t>
            </w:r>
          </w:p>
        </w:tc>
        <w:tc>
          <w:tcPr>
            <w:tcW w:w="1559"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Terziario</w:t>
            </w:r>
          </w:p>
        </w:tc>
        <w:tc>
          <w:tcPr>
            <w:tcW w:w="1632" w:type="dxa"/>
            <w:gridSpan w:val="2"/>
            <w:tcBorders>
              <w:top w:val="single" w:sz="4" w:space="0" w:color="auto"/>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w:t>
            </w:r>
            <w:r>
              <w:rPr>
                <w:rFonts w:ascii="Garamond" w:hAnsi="Garamond" w:cs="Calibri"/>
                <w:b/>
                <w:bCs/>
                <w:color w:val="000000"/>
                <w:sz w:val="20"/>
                <w:szCs w:val="20"/>
                <w:lang w:val="en-US" w:eastAsia="en-US"/>
              </w:rPr>
              <w:t>Totale</w:t>
            </w:r>
          </w:p>
        </w:tc>
      </w:tr>
      <w:tr w:rsidR="002F1C54" w:rsidRPr="00046AC9" w:rsidTr="00D73F13">
        <w:trPr>
          <w:trHeight w:val="111"/>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2000</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3.5</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21.1</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75.4</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227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994</w:t>
            </w:r>
            <w:r>
              <w:rPr>
                <w:rFonts w:ascii="Garamond" w:hAnsi="Garamond" w:cs="Calibri"/>
                <w:color w:val="000000"/>
                <w:sz w:val="20"/>
                <w:szCs w:val="20"/>
                <w:lang w:val="en-US" w:eastAsia="en-US"/>
              </w:rPr>
              <w:t>)</w:t>
            </w:r>
          </w:p>
        </w:tc>
      </w:tr>
      <w:tr w:rsidR="002F1C54" w:rsidRPr="00046AC9" w:rsidTr="00D73F13">
        <w:trPr>
          <w:trHeight w:val="113"/>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2001</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21.6</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75.1</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950</w:t>
            </w:r>
            <w:r>
              <w:rPr>
                <w:rFonts w:ascii="Garamond" w:hAnsi="Garamond" w:cs="Calibri"/>
                <w:color w:val="000000"/>
                <w:sz w:val="20"/>
                <w:szCs w:val="20"/>
                <w:lang w:val="en-US" w:eastAsia="en-US"/>
              </w:rPr>
              <w:t>)</w:t>
            </w:r>
          </w:p>
        </w:tc>
      </w:tr>
      <w:tr w:rsidR="002F1C54" w:rsidRPr="00046AC9" w:rsidTr="00D73F13">
        <w:trPr>
          <w:trHeight w:val="131"/>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2002</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22.1</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74.7</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241</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030</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2003</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20.5</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76.4</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566</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2004</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19.2</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77.4</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064</w:t>
            </w:r>
            <w:r>
              <w:rPr>
                <w:rFonts w:ascii="Garamond" w:hAnsi="Garamond" w:cs="Calibri"/>
                <w:color w:val="000000"/>
                <w:sz w:val="20"/>
                <w:szCs w:val="20"/>
                <w:lang w:val="en-US" w:eastAsia="en-US"/>
              </w:rPr>
              <w:t>)</w:t>
            </w:r>
          </w:p>
        </w:tc>
      </w:tr>
      <w:tr w:rsidR="002F1C54" w:rsidRPr="00046AC9" w:rsidTr="00D73F13">
        <w:trPr>
          <w:trHeight w:val="176"/>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2005</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18.0</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78.7</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254</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096</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2006</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18.3</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78.4</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585</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2007</w:t>
            </w:r>
          </w:p>
        </w:tc>
        <w:tc>
          <w:tcPr>
            <w:tcW w:w="1789"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18.7</w:t>
            </w:r>
          </w:p>
        </w:tc>
        <w:tc>
          <w:tcPr>
            <w:tcW w:w="1559"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77.9</w:t>
            </w:r>
          </w:p>
        </w:tc>
        <w:tc>
          <w:tcPr>
            <w:tcW w:w="1632" w:type="dxa"/>
            <w:gridSpan w:val="2"/>
            <w:tcBorders>
              <w:top w:val="nil"/>
              <w:left w:val="nil"/>
              <w:bottom w:val="nil"/>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266</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294</w:t>
            </w:r>
            <w:r>
              <w:rPr>
                <w:rFonts w:ascii="Garamond" w:hAnsi="Garamond" w:cs="Calibri"/>
                <w:color w:val="000000"/>
                <w:sz w:val="20"/>
                <w:szCs w:val="20"/>
                <w:lang w:val="en-US" w:eastAsia="en-US"/>
              </w:rPr>
              <w:t>)</w:t>
            </w:r>
          </w:p>
        </w:tc>
      </w:tr>
      <w:tr w:rsidR="002F1C54" w:rsidRPr="00046AC9" w:rsidTr="00D73F13">
        <w:trPr>
          <w:trHeight w:val="80"/>
          <w:jc w:val="center"/>
        </w:trPr>
        <w:tc>
          <w:tcPr>
            <w:tcW w:w="1005"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2008</w:t>
            </w:r>
          </w:p>
        </w:tc>
        <w:tc>
          <w:tcPr>
            <w:tcW w:w="1789"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19.3</w:t>
            </w:r>
          </w:p>
        </w:tc>
        <w:tc>
          <w:tcPr>
            <w:tcW w:w="1559"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77.4</w:t>
            </w:r>
          </w:p>
        </w:tc>
        <w:tc>
          <w:tcPr>
            <w:tcW w:w="1632" w:type="dxa"/>
            <w:gridSpan w:val="2"/>
            <w:tcBorders>
              <w:top w:val="nil"/>
              <w:left w:val="nil"/>
              <w:bottom w:val="single" w:sz="8" w:space="0" w:color="auto"/>
              <w:right w:val="nil"/>
            </w:tcBorders>
            <w:shd w:val="clear" w:color="auto" w:fill="auto"/>
            <w:noWrap/>
            <w:vAlign w:val="bottom"/>
            <w:hideMark/>
          </w:tcPr>
          <w:p w:rsidR="002F1C54" w:rsidRPr="00046AC9"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047</w:t>
            </w:r>
            <w:r>
              <w:rPr>
                <w:rFonts w:ascii="Garamond" w:hAnsi="Garamond" w:cs="Calibri"/>
                <w:color w:val="000000"/>
                <w:sz w:val="20"/>
                <w:szCs w:val="20"/>
                <w:lang w:val="en-US" w:eastAsia="en-US"/>
              </w:rPr>
              <w:t>)</w:t>
            </w:r>
          </w:p>
        </w:tc>
      </w:tr>
      <w:tr w:rsidR="002F1C54" w:rsidRPr="00046AC9" w:rsidTr="00D73F13">
        <w:trPr>
          <w:gridAfter w:val="1"/>
          <w:wAfter w:w="767" w:type="dxa"/>
          <w:trHeight w:val="60"/>
          <w:jc w:val="center"/>
        </w:trPr>
        <w:tc>
          <w:tcPr>
            <w:tcW w:w="5812" w:type="dxa"/>
            <w:gridSpan w:val="4"/>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IRES Morosini da dati Giovannini et al. 2011</w:t>
            </w:r>
          </w:p>
        </w:tc>
        <w:tc>
          <w:tcPr>
            <w:tcW w:w="1148"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r>
    </w:tbl>
    <w:p w:rsidR="002F1C54" w:rsidRDefault="002F1C54" w:rsidP="002F1C54">
      <w:pPr>
        <w:spacing w:line="360" w:lineRule="auto"/>
        <w:jc w:val="both"/>
      </w:pPr>
    </w:p>
    <w:p w:rsidR="002F1C54" w:rsidRPr="00BE4A37" w:rsidRDefault="002F1C54" w:rsidP="002F1C54">
      <w:pPr>
        <w:spacing w:line="360" w:lineRule="auto"/>
        <w:jc w:val="both"/>
      </w:pPr>
    </w:p>
    <w:p w:rsidR="002F1C54" w:rsidRPr="00BE4A37" w:rsidRDefault="002F1C54" w:rsidP="002F1C54">
      <w:pPr>
        <w:spacing w:line="360" w:lineRule="auto"/>
        <w:jc w:val="both"/>
      </w:pPr>
      <w:r w:rsidRPr="00BE4A37">
        <w:t>Esistono dati ulteriormente disaggregati, anche se risalenti ad uno studio condotto dall’ISTAT nel 2005, i quali permettono di osservare le marcate differenze esistenti a livello settoriale. In modo particolare, il settore dei servizi resulta essere partic</w:t>
      </w:r>
      <w:r>
        <w:t>o</w:t>
      </w:r>
      <w:r w:rsidRPr="00BE4A37">
        <w:t>larmente eterogeneo al proprio interno. Infatti, se il livello medio di intensit</w:t>
      </w:r>
      <w:r>
        <w:t>à</w:t>
      </w:r>
      <w:r w:rsidRPr="00BE4A37">
        <w:t xml:space="preserve"> del sommerso (vale a dire la percentuale di valore aggiunto ricondu</w:t>
      </w:r>
      <w:r>
        <w:t>ci</w:t>
      </w:r>
      <w:r w:rsidRPr="00BE4A37">
        <w:t>bile al sommerso sul totale del settore) nel 2005 risultava essere del 21,7%, questo era il prodotto della presenza del settore della pubblica amministrazione e del credito e delle assicurazioni nei quali la presenza del sommerso risultava essere nulla o molto contenuta. Al contrario, negli altri sotto-settori il dato resulta essere nettamente superiore al valore medio, soprattutto nel settore del com</w:t>
      </w:r>
      <w:r>
        <w:t>m</w:t>
      </w:r>
      <w:r w:rsidRPr="00BE4A37">
        <w:t>ercio (32,1%), nel settore alberghiero e della ristorazione (56,8%), nei trasporti (33,9%), in quello della sanit</w:t>
      </w:r>
      <w:r>
        <w:t>à</w:t>
      </w:r>
      <w:r w:rsidRPr="00BE4A37">
        <w:t>, istruzione e dei servizi social (36,8) e in quello dei servizi domestici (52,9%).</w:t>
      </w:r>
    </w:p>
    <w:p w:rsidR="002F1C54" w:rsidRDefault="002F1C54" w:rsidP="002F1C54">
      <w:pPr>
        <w:spacing w:line="360" w:lineRule="auto"/>
        <w:jc w:val="both"/>
      </w:pPr>
      <w:r w:rsidRPr="00BE4A37">
        <w:t>Anche nel settore ind</w:t>
      </w:r>
      <w:r>
        <w:t>u</w:t>
      </w:r>
      <w:r w:rsidRPr="00BE4A37">
        <w:t>striale, inoltre, la media generale sembra risentire dell’elevato grado di diffusione dell’economia sommersa nel settore delle costruzioni (28,4%), a fronte di valori molto contenuti nel settore metalmeccanico, della chimica e energetico tradi</w:t>
      </w:r>
      <w:r>
        <w:t>z</w:t>
      </w:r>
      <w:r w:rsidRPr="00BE4A37">
        <w:t>ionalmente caratterizzati da imprese di grandi dimensioni.</w:t>
      </w: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Pr="00BE4A37" w:rsidRDefault="002F1C54" w:rsidP="002F1C54">
      <w:pPr>
        <w:spacing w:line="360" w:lineRule="auto"/>
        <w:jc w:val="both"/>
      </w:pPr>
    </w:p>
    <w:tbl>
      <w:tblPr>
        <w:tblW w:w="6855" w:type="dxa"/>
        <w:jc w:val="center"/>
        <w:tblInd w:w="93" w:type="dxa"/>
        <w:tblLook w:val="04A0"/>
      </w:tblPr>
      <w:tblGrid>
        <w:gridCol w:w="1635"/>
        <w:gridCol w:w="3212"/>
        <w:gridCol w:w="226"/>
        <w:gridCol w:w="1368"/>
        <w:gridCol w:w="414"/>
      </w:tblGrid>
      <w:tr w:rsidR="002F1C54" w:rsidRPr="006F109C" w:rsidTr="00D73F13">
        <w:trPr>
          <w:gridAfter w:val="1"/>
          <w:wAfter w:w="414" w:type="dxa"/>
          <w:trHeight w:val="270"/>
          <w:jc w:val="center"/>
        </w:trPr>
        <w:tc>
          <w:tcPr>
            <w:tcW w:w="6441" w:type="dxa"/>
            <w:gridSpan w:val="4"/>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b/>
                <w:bCs/>
                <w:color w:val="000000"/>
                <w:sz w:val="20"/>
                <w:szCs w:val="20"/>
                <w:lang w:eastAsia="en-US"/>
              </w:rPr>
            </w:pPr>
            <w:r w:rsidRPr="00BE4A37">
              <w:rPr>
                <w:rFonts w:ascii="Garamond" w:hAnsi="Garamond"/>
                <w:b/>
                <w:bCs/>
                <w:color w:val="000000"/>
                <w:sz w:val="20"/>
                <w:szCs w:val="20"/>
                <w:lang w:eastAsia="en-US"/>
              </w:rPr>
              <w:lastRenderedPageBreak/>
              <w:t>Valore aggiunto prodotto nell'area del sommerso per settore.</w:t>
            </w:r>
          </w:p>
        </w:tc>
      </w:tr>
      <w:tr w:rsidR="002F1C54" w:rsidRPr="006F109C" w:rsidTr="00D73F13">
        <w:trPr>
          <w:trHeight w:val="315"/>
          <w:jc w:val="center"/>
        </w:trPr>
        <w:tc>
          <w:tcPr>
            <w:tcW w:w="5073" w:type="dxa"/>
            <w:gridSpan w:val="3"/>
            <w:tcBorders>
              <w:top w:val="single" w:sz="8" w:space="0" w:color="auto"/>
              <w:left w:val="nil"/>
              <w:bottom w:val="single" w:sz="8" w:space="0" w:color="auto"/>
              <w:right w:val="nil"/>
            </w:tcBorders>
            <w:shd w:val="clear" w:color="auto" w:fill="auto"/>
            <w:noWrap/>
            <w:vAlign w:val="bottom"/>
            <w:hideMark/>
          </w:tcPr>
          <w:p w:rsidR="002F1C54" w:rsidRPr="006F109C" w:rsidRDefault="002F1C54" w:rsidP="00D73F13">
            <w:pP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SETTORI</w:t>
            </w:r>
          </w:p>
        </w:tc>
        <w:tc>
          <w:tcPr>
            <w:tcW w:w="1782" w:type="dxa"/>
            <w:gridSpan w:val="2"/>
            <w:tcBorders>
              <w:top w:val="single" w:sz="4" w:space="0" w:color="auto"/>
              <w:left w:val="nil"/>
              <w:bottom w:val="single" w:sz="8"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 sul settore</w:t>
            </w:r>
          </w:p>
        </w:tc>
      </w:tr>
      <w:tr w:rsidR="002F1C54" w:rsidRPr="006F109C" w:rsidTr="00D73F13">
        <w:trPr>
          <w:trHeight w:val="255"/>
          <w:jc w:val="center"/>
        </w:trPr>
        <w:tc>
          <w:tcPr>
            <w:tcW w:w="1635" w:type="dxa"/>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Agricoltura</w:t>
            </w:r>
          </w:p>
        </w:tc>
        <w:tc>
          <w:tcPr>
            <w:tcW w:w="3438" w:type="dxa"/>
            <w:gridSpan w:val="2"/>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Agricoltura/Silvicoltura/Pesca</w:t>
            </w:r>
          </w:p>
        </w:tc>
        <w:tc>
          <w:tcPr>
            <w:tcW w:w="1782" w:type="dxa"/>
            <w:gridSpan w:val="2"/>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31,1</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Industria</w:t>
            </w: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11,7</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Alimentari/Bevande/Tabacco</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10,7</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Tessile/Abbigl./Pelle/Calzat.</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13,7</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Petrolio/Chimica</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6,0</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Metalmeccanico</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5,0</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Altro industria</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11,0</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Energia/Gas/Acqua</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1,8</w:t>
            </w:r>
          </w:p>
        </w:tc>
      </w:tr>
      <w:tr w:rsidR="002F1C54" w:rsidRPr="006F109C" w:rsidTr="00D73F13">
        <w:trPr>
          <w:trHeight w:val="255"/>
          <w:jc w:val="center"/>
        </w:trPr>
        <w:tc>
          <w:tcPr>
            <w:tcW w:w="1635" w:type="dxa"/>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 </w:t>
            </w:r>
          </w:p>
        </w:tc>
        <w:tc>
          <w:tcPr>
            <w:tcW w:w="3438" w:type="dxa"/>
            <w:gridSpan w:val="2"/>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Costruzioni</w:t>
            </w:r>
          </w:p>
        </w:tc>
        <w:tc>
          <w:tcPr>
            <w:tcW w:w="1782" w:type="dxa"/>
            <w:gridSpan w:val="2"/>
            <w:tcBorders>
              <w:top w:val="nil"/>
              <w:left w:val="nil"/>
              <w:bottom w:val="single" w:sz="4" w:space="0" w:color="auto"/>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28,4</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w:t>
            </w: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21,7</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Commercio</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32,1</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Alberghi/Esercizi pubblici</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56,8</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Trasporti/Comunicazioni</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33,9</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Credito/Assicurazioni</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6,4</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 alle imprese</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21,5</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Pubblica Amministrazione</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0,0</w:t>
            </w:r>
          </w:p>
        </w:tc>
      </w:tr>
      <w:tr w:rsidR="002F1C54" w:rsidRPr="006F109C" w:rsidTr="00D73F13">
        <w:trPr>
          <w:trHeight w:val="255"/>
          <w:jc w:val="center"/>
        </w:trPr>
        <w:tc>
          <w:tcPr>
            <w:tcW w:w="1635" w:type="dxa"/>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Istruzione/Sanita'/Serv.Sociali</w:t>
            </w:r>
          </w:p>
        </w:tc>
        <w:tc>
          <w:tcPr>
            <w:tcW w:w="1782" w:type="dxa"/>
            <w:gridSpan w:val="2"/>
            <w:tcBorders>
              <w:top w:val="nil"/>
              <w:left w:val="nil"/>
              <w:bottom w:val="nil"/>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36,8</w:t>
            </w:r>
          </w:p>
        </w:tc>
      </w:tr>
      <w:tr w:rsidR="002F1C54" w:rsidRPr="006F109C" w:rsidTr="00D73F13">
        <w:trPr>
          <w:trHeight w:val="270"/>
          <w:jc w:val="center"/>
        </w:trPr>
        <w:tc>
          <w:tcPr>
            <w:tcW w:w="1635" w:type="dxa"/>
            <w:tcBorders>
              <w:top w:val="nil"/>
              <w:left w:val="nil"/>
              <w:bottom w:val="single" w:sz="8" w:space="0" w:color="auto"/>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 </w:t>
            </w:r>
          </w:p>
        </w:tc>
        <w:tc>
          <w:tcPr>
            <w:tcW w:w="3438" w:type="dxa"/>
            <w:gridSpan w:val="2"/>
            <w:tcBorders>
              <w:top w:val="nil"/>
              <w:left w:val="nil"/>
              <w:bottom w:val="single" w:sz="8" w:space="0" w:color="auto"/>
              <w:right w:val="nil"/>
            </w:tcBorders>
            <w:shd w:val="clear" w:color="auto" w:fill="auto"/>
            <w:noWrap/>
            <w:vAlign w:val="bottom"/>
            <w:hideMark/>
          </w:tcPr>
          <w:p w:rsidR="002F1C54" w:rsidRPr="006F109C" w:rsidRDefault="002F1C54" w:rsidP="00D73F13">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 domestici</w:t>
            </w:r>
          </w:p>
        </w:tc>
        <w:tc>
          <w:tcPr>
            <w:tcW w:w="1782" w:type="dxa"/>
            <w:gridSpan w:val="2"/>
            <w:tcBorders>
              <w:top w:val="nil"/>
              <w:left w:val="nil"/>
              <w:bottom w:val="single" w:sz="8" w:space="0" w:color="auto"/>
              <w:right w:val="nil"/>
            </w:tcBorders>
            <w:shd w:val="clear" w:color="auto" w:fill="auto"/>
            <w:noWrap/>
            <w:vAlign w:val="bottom"/>
            <w:hideMark/>
          </w:tcPr>
          <w:p w:rsidR="002F1C54" w:rsidRPr="006F109C" w:rsidRDefault="002F1C54" w:rsidP="00D73F13">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52,9</w:t>
            </w:r>
          </w:p>
        </w:tc>
      </w:tr>
      <w:tr w:rsidR="002F1C54" w:rsidRPr="006F109C" w:rsidTr="00D73F13">
        <w:trPr>
          <w:gridAfter w:val="1"/>
          <w:wAfter w:w="414" w:type="dxa"/>
          <w:trHeight w:val="255"/>
          <w:jc w:val="center"/>
        </w:trPr>
        <w:tc>
          <w:tcPr>
            <w:tcW w:w="4847" w:type="dxa"/>
            <w:gridSpan w:val="2"/>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b/>
                <w:bCs/>
                <w:color w:val="000000"/>
                <w:sz w:val="20"/>
                <w:szCs w:val="20"/>
                <w:lang w:eastAsia="en-US"/>
              </w:rPr>
            </w:pPr>
            <w:r w:rsidRPr="00BE4A37">
              <w:rPr>
                <w:rFonts w:ascii="Garamond" w:hAnsi="Garamond"/>
                <w:b/>
                <w:bCs/>
                <w:color w:val="000000"/>
                <w:sz w:val="20"/>
                <w:szCs w:val="20"/>
                <w:lang w:eastAsia="en-US"/>
              </w:rPr>
              <w:t>Fonte: dati estratti da Giovannini et al. 2011</w:t>
            </w:r>
          </w:p>
        </w:tc>
        <w:tc>
          <w:tcPr>
            <w:tcW w:w="1594"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olor w:val="000000"/>
                <w:sz w:val="20"/>
                <w:szCs w:val="20"/>
                <w:lang w:eastAsia="en-US"/>
              </w:rPr>
            </w:pPr>
          </w:p>
        </w:tc>
      </w:tr>
    </w:tbl>
    <w:p w:rsidR="002F1C54" w:rsidRPr="00BE4A37"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Purtroppo, come sottolineato in precedenza, l’ISTAT non fornisce i dati a livello regionale e provinciale. Pertanto, l’azione della nostra ricerca (che sarà descritta in modo più dettagliato nella sezione successiva) andrà a colmare questa lacuna.</w:t>
      </w:r>
    </w:p>
    <w:p w:rsidR="002F1C54" w:rsidRDefault="002F1C54" w:rsidP="002F1C54">
      <w:pPr>
        <w:spacing w:line="360" w:lineRule="auto"/>
        <w:jc w:val="both"/>
      </w:pPr>
      <w:r>
        <w:t>Accanto alle stime fornite dall’ISTAT, esistono studi effettuati dall’Agenzia delle entrate volti a stimare il fenomeno dell’evasione fiscale a partire dalle principali imposte presenti in Italia, vale a dire in modo particolare l’IVA e secondariamente l’IRAP. Esistono poi studi effettuati dalla Banca d’Italia relativi all’IRPEF. Tutti questi studi presentano punti di forza e aspetti deficitari rispetto alle stime fornite dall’ISTAT.</w:t>
      </w:r>
    </w:p>
    <w:p w:rsidR="002F1C54" w:rsidRDefault="002F1C54" w:rsidP="002F1C54">
      <w:pPr>
        <w:spacing w:line="360" w:lineRule="auto"/>
        <w:jc w:val="both"/>
      </w:pPr>
      <w:r>
        <w:t xml:space="preserve">In modo particolare, queste stime alternative si discostano da quelle prodotte dall’ISTAT in quanto non vogliono definire l’entità relativa all’economia non osservata, quanto il dato relativo al non rispetto degli obblighi fiscali (tax compliance). Esistono però delle differenze significative tra queste metodologie e quelle adottate dall’ISTAT. Le procedure che si propongono di definire il livello del rispetto degli obblighi fiscali tramite i dati relativi alle principali imposte comprendono al loro interno anche componenti che non sono direttamente classificabili come “evasive”, quali errori nell’interpretazione delle norme e crisi di liquidità. Questi due aspetti invece non rientrano nelle stime dell’economia sommersa. Inoltre, per quanto concerne le stime prodotte dall’Agenzia delle entrate, il </w:t>
      </w:r>
      <w:r>
        <w:rPr>
          <w:i/>
        </w:rPr>
        <w:t xml:space="preserve">gap </w:t>
      </w:r>
      <w:r>
        <w:t>dell’imposta stimato differisce fortemente a seconda del tributo. Infatti, nel caso del dato calcolato sul tributo IRAP il valore risulta essere molto più contenuto.</w:t>
      </w:r>
    </w:p>
    <w:p w:rsidR="002F1C54" w:rsidRDefault="002F1C54" w:rsidP="002F1C54">
      <w:pPr>
        <w:spacing w:line="360" w:lineRule="auto"/>
        <w:jc w:val="both"/>
      </w:pPr>
    </w:p>
    <w:p w:rsidR="002F1C54" w:rsidRPr="00043771" w:rsidRDefault="002F1C54" w:rsidP="002F1C54">
      <w:pPr>
        <w:pStyle w:val="Titolo2"/>
        <w:spacing w:before="0" w:line="360" w:lineRule="auto"/>
        <w:rPr>
          <w:rFonts w:ascii="Times New Roman" w:hAnsi="Times New Roman" w:cs="Times New Roman"/>
          <w:color w:val="auto"/>
          <w:sz w:val="24"/>
          <w:szCs w:val="24"/>
        </w:rPr>
      </w:pPr>
      <w:bookmarkStart w:id="7" w:name="_Toc359506055"/>
      <w:r w:rsidRPr="00043771">
        <w:rPr>
          <w:rFonts w:ascii="Times New Roman" w:hAnsi="Times New Roman" w:cs="Times New Roman"/>
          <w:color w:val="auto"/>
          <w:sz w:val="24"/>
          <w:szCs w:val="24"/>
        </w:rPr>
        <w:lastRenderedPageBreak/>
        <w:t>L’evasione fiscale basata sulla base imponibile IVA</w:t>
      </w:r>
      <w:bookmarkEnd w:id="7"/>
    </w:p>
    <w:p w:rsidR="002F1C54" w:rsidRPr="00D94A79" w:rsidRDefault="002F1C54" w:rsidP="002F1C54">
      <w:pPr>
        <w:spacing w:line="360" w:lineRule="auto"/>
        <w:jc w:val="both"/>
      </w:pPr>
    </w:p>
    <w:p w:rsidR="002F1C54" w:rsidRDefault="002F1C54" w:rsidP="002F1C54">
      <w:pPr>
        <w:spacing w:line="360" w:lineRule="auto"/>
        <w:jc w:val="both"/>
      </w:pPr>
      <w:r>
        <w:t xml:space="preserve">Come sottolineato dagli studi prodotti dall’Agenzia delle entrate e dalla Corte dei conti, l’IVA è l’imposta che meglio si presta per analizzare il comportamento delle persone per quanto concerne il rispetto degli obblighi fiscali, proprio per il suo impatto su tutti i passaggi della produzione. Infatti, l’occultamento dell’intera filiera produttiva, la sottofatturazione dei ricavi, il “rigonfiamento” dei costi producono una contrazione della base imponibile alla quale applicare l’IVA. Pertanto, disponendo dei dati forniti dall’ISTAT che comprendono anche le attività economiche non direttamente osservate, diventa possibile stimare la base IVA completa dalla quale sottrarre il dato relativo all’IVA effettivamente versata e ottenere quindi il valore del </w:t>
      </w:r>
      <w:r>
        <w:rPr>
          <w:i/>
        </w:rPr>
        <w:t>tax gap</w:t>
      </w:r>
      <w:r>
        <w:t xml:space="preserve">. </w:t>
      </w:r>
    </w:p>
    <w:p w:rsidR="002F1C54" w:rsidRDefault="002F1C54" w:rsidP="002F1C54">
      <w:pPr>
        <w:spacing w:line="360" w:lineRule="auto"/>
        <w:jc w:val="both"/>
      </w:pPr>
      <w:r>
        <w:t>Stime precise dell’evasione richiederebbero una perfetta conoscenza del comportamento degli operatori, pertanto l’Agenzia delle entrate fornisce sia il valore definito come “senza consenso”, vale a dire ipotizzando che il venditore fattura l’imposta che grava sul conto di chi acquista, ma non la versa all’erario (ipotesi minima), e il valore “con consenso” nel quale si ipotizza che la transizione economica sia occultata “in toto” tramite accordo tra le parti (ipotesi massima).</w:t>
      </w:r>
    </w:p>
    <w:p w:rsidR="002F1C54" w:rsidRDefault="002F1C54" w:rsidP="002F1C54">
      <w:pPr>
        <w:spacing w:line="360" w:lineRule="auto"/>
        <w:jc w:val="both"/>
      </w:pPr>
      <w:r>
        <w:t>Nel 2008, se il dato fornito dall’ISTAT relativo al sommerso economico risultava oscillare tra i 255 e il 275 miliardi, quello fornito dall’agenzia delle entrate e relativo all’IVA, relativo al medesimo anno, oscillava tra i 242 e i 282 miliardi.</w:t>
      </w:r>
    </w:p>
    <w:p w:rsidR="002F1C54" w:rsidRDefault="002F1C54" w:rsidP="002F1C54">
      <w:pPr>
        <w:spacing w:line="360" w:lineRule="auto"/>
        <w:jc w:val="both"/>
      </w:pPr>
      <w:r>
        <w:t>Il 2009, invece, ultimo dato aggiornato disponibile, ha registrato una significativa contrazione del dato relativo all’IVA evasa (almeno a livello nazionale), scendendo ad un valore che oscilla tra i 215 e i 248 miliardi evasi, pari rispettivamente al 14,2% e al 16,4% del PIL [Giovannini et al 2011, Corte dei Conti 2012].</w:t>
      </w:r>
    </w:p>
    <w:p w:rsidR="002F1C54" w:rsidRDefault="002F1C54" w:rsidP="002F1C54">
      <w:pPr>
        <w:spacing w:line="360" w:lineRule="auto"/>
        <w:jc w:val="both"/>
      </w:pPr>
      <w:r>
        <w:t xml:space="preserve">Come mostra la tabella sottostante, estratta da Marigliani e Pisani (2007) e Giovannini et al. (2011), </w:t>
      </w:r>
    </w:p>
    <w:p w:rsidR="002F1C54" w:rsidRDefault="002F1C54" w:rsidP="002F1C54">
      <w:pPr>
        <w:spacing w:line="360" w:lineRule="auto"/>
        <w:jc w:val="both"/>
      </w:pPr>
      <w:r>
        <w:t xml:space="preserve">la base imponibile non dichiarata a livello nazionale, nel corso dell’ultimo decennio, dopo l’incremento osservato fino al 2006, anno in cui nell’ipotesi massima é arrivata ad essere 314 milioni di euro, pari al 21,2% del prodotto interno lordo, é tornata a calare, anche se non in modo stabile fino a raggiungere il dato del 2009 pari al 16,4% del Pil. Purtroppo, al momento non esistono dati più aggiornati. Studi alternativi (quali le indagini ispettive da parte del Ministero del Lavoro, dell’INPS e INAIL o l’osservazione della dinamica del gettito Iva in relazione con la dinamica dei consumi delle famiglie espressi in termini monetari) però indicano chiaramente come nel corso dell’ultimo biennio (e nel primo quadrimestre del 2012) il dato sia peggiorato [Corte dei Conti 2012, Vitaletti 2012, </w:t>
      </w:r>
      <w:r w:rsidRPr="00BE4A37">
        <w:t>Comitato per il lavoro e l’emersione del sommerso 2012, INPS 2012, Ministero del Lavoro e delle Politiche Sociali 2012]. A tale proposito, come osservato in Vitaletti (2012), é possibile considerare il dato fornito dall’ISTAT relativo alle v</w:t>
      </w:r>
      <w:r>
        <w:t>e</w:t>
      </w:r>
      <w:r w:rsidRPr="00BE4A37">
        <w:t xml:space="preserve">ndite al dettaglio e quello </w:t>
      </w:r>
      <w:r w:rsidRPr="00BE4A37">
        <w:lastRenderedPageBreak/>
        <w:t>dell’indice dei prezzi, i quali indicano come i consumi in termini monetari siano rimasti praticamente stabili rispetto al primo quadrimestre dell’anno precedente. Sul fronte opposto, invece, i dati forniti dal Ministero delle Finanze indicano come nel medesimo periodo il gettito dell’IVA sia calato di circa un punto percentuale, nonostante l’incremento dell’aliquota dell’1% (che di per sé, a parit</w:t>
      </w:r>
      <w:r>
        <w:t>à</w:t>
      </w:r>
      <w:r w:rsidRPr="00BE4A37">
        <w:t xml:space="preserve"> di tutte le altre condizioni, avrebbe dovuto generare un</w:t>
      </w:r>
      <w:r>
        <w:t xml:space="preserve"> </w:t>
      </w:r>
      <w:r w:rsidRPr="00BE4A37">
        <w:t>aumento nel gettito dell’IVA). Questo fenomeno, quindi, per quanto basato su dati non ancora certi, pu</w:t>
      </w:r>
      <w:r>
        <w:t>ò</w:t>
      </w:r>
      <w:r w:rsidRPr="00BE4A37">
        <w:t xml:space="preserve"> essere visto come un indicatore di un peggioramento del livello di compliance dell’IVA.</w:t>
      </w:r>
    </w:p>
    <w:p w:rsidR="002F1C54" w:rsidRPr="0089764D" w:rsidRDefault="002F1C54" w:rsidP="002F1C54">
      <w:pPr>
        <w:spacing w:line="360" w:lineRule="auto"/>
        <w:jc w:val="both"/>
      </w:pPr>
    </w:p>
    <w:tbl>
      <w:tblPr>
        <w:tblW w:w="9375" w:type="dxa"/>
        <w:tblInd w:w="93" w:type="dxa"/>
        <w:tblLook w:val="04A0"/>
      </w:tblPr>
      <w:tblGrid>
        <w:gridCol w:w="825"/>
        <w:gridCol w:w="2880"/>
        <w:gridCol w:w="167"/>
        <w:gridCol w:w="2713"/>
        <w:gridCol w:w="486"/>
        <w:gridCol w:w="954"/>
        <w:gridCol w:w="286"/>
        <w:gridCol w:w="1064"/>
      </w:tblGrid>
      <w:tr w:rsidR="002F1C54" w:rsidRPr="00D7229B" w:rsidTr="00D73F13">
        <w:trPr>
          <w:trHeight w:val="315"/>
        </w:trPr>
        <w:tc>
          <w:tcPr>
            <w:tcW w:w="7071" w:type="dxa"/>
            <w:gridSpan w:val="5"/>
            <w:tcBorders>
              <w:top w:val="nil"/>
              <w:left w:val="nil"/>
              <w:bottom w:val="single" w:sz="8" w:space="0" w:color="auto"/>
              <w:right w:val="nil"/>
            </w:tcBorders>
            <w:shd w:val="clear" w:color="auto" w:fill="auto"/>
            <w:noWrap/>
            <w:vAlign w:val="bottom"/>
            <w:hideMark/>
          </w:tcPr>
          <w:p w:rsidR="002F1C54" w:rsidRPr="00D7229B" w:rsidRDefault="002F1C54" w:rsidP="00D73F13">
            <w:pPr>
              <w:rPr>
                <w:rFonts w:ascii="Garamond" w:hAnsi="Garamond" w:cs="Calibri"/>
                <w:b/>
                <w:bCs/>
                <w:color w:val="000000"/>
                <w:sz w:val="20"/>
                <w:szCs w:val="20"/>
                <w:lang w:val="es-EC" w:eastAsia="en-US"/>
              </w:rPr>
            </w:pPr>
            <w:r w:rsidRPr="00BE4A37">
              <w:rPr>
                <w:rFonts w:ascii="Garamond" w:hAnsi="Garamond" w:cs="Calibri"/>
                <w:b/>
                <w:bCs/>
                <w:color w:val="000000"/>
                <w:sz w:val="20"/>
                <w:szCs w:val="20"/>
                <w:lang w:eastAsia="en-US"/>
              </w:rPr>
              <w:t xml:space="preserve">Grandezze riferite alla compliance dell'IVA. </w:t>
            </w:r>
            <w:r w:rsidRPr="00D7229B">
              <w:rPr>
                <w:rFonts w:ascii="Garamond" w:hAnsi="Garamond" w:cs="Calibri"/>
                <w:b/>
                <w:bCs/>
                <w:color w:val="000000"/>
                <w:sz w:val="20"/>
                <w:szCs w:val="20"/>
                <w:lang w:val="es-EC" w:eastAsia="en-US"/>
              </w:rPr>
              <w:t>Milioni di euro</w:t>
            </w:r>
            <w:r w:rsidRPr="00302985">
              <w:rPr>
                <w:rFonts w:ascii="Garamond" w:hAnsi="Garamond" w:cs="Calibri"/>
                <w:b/>
                <w:bCs/>
                <w:color w:val="000000"/>
                <w:sz w:val="20"/>
                <w:szCs w:val="20"/>
                <w:lang w:val="es-EC" w:eastAsia="en-US"/>
              </w:rPr>
              <w:t>.</w:t>
            </w:r>
          </w:p>
        </w:tc>
        <w:tc>
          <w:tcPr>
            <w:tcW w:w="124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s-EC" w:eastAsia="en-US"/>
              </w:rPr>
            </w:pPr>
            <w:r w:rsidRPr="00D7229B">
              <w:rPr>
                <w:rFonts w:ascii="Garamond" w:hAnsi="Garamond" w:cs="Calibri"/>
                <w:color w:val="000000"/>
                <w:sz w:val="20"/>
                <w:szCs w:val="20"/>
                <w:lang w:val="es-EC" w:eastAsia="en-US"/>
              </w:rPr>
              <w:t> </w:t>
            </w:r>
          </w:p>
        </w:tc>
        <w:tc>
          <w:tcPr>
            <w:tcW w:w="1064"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s-EC" w:eastAsia="en-US"/>
              </w:rPr>
            </w:pPr>
            <w:r w:rsidRPr="00D7229B">
              <w:rPr>
                <w:rFonts w:ascii="Garamond" w:hAnsi="Garamond" w:cs="Calibri"/>
                <w:color w:val="000000"/>
                <w:sz w:val="20"/>
                <w:szCs w:val="20"/>
                <w:lang w:val="es-EC" w:eastAsia="en-US"/>
              </w:rPr>
              <w:t> </w:t>
            </w:r>
          </w:p>
        </w:tc>
      </w:tr>
      <w:tr w:rsidR="002F1C54" w:rsidRPr="00D7229B" w:rsidTr="00D73F13">
        <w:trPr>
          <w:trHeight w:val="165"/>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s-EC" w:eastAsia="en-US"/>
              </w:rPr>
            </w:pP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Base imponibile non dichiarata</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Base imponibile non dichiarata</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p>
        </w:tc>
      </w:tr>
      <w:tr w:rsidR="002F1C54" w:rsidRPr="00D7229B" w:rsidTr="00D73F13">
        <w:trPr>
          <w:trHeight w:val="140"/>
        </w:trPr>
        <w:tc>
          <w:tcPr>
            <w:tcW w:w="825"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Anno</w:t>
            </w:r>
          </w:p>
        </w:tc>
        <w:tc>
          <w:tcPr>
            <w:tcW w:w="2880"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con consenso (A)</w:t>
            </w:r>
          </w:p>
        </w:tc>
        <w:tc>
          <w:tcPr>
            <w:tcW w:w="288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senza consenso (B)</w:t>
            </w:r>
          </w:p>
        </w:tc>
        <w:tc>
          <w:tcPr>
            <w:tcW w:w="144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 A/Pil</w:t>
            </w:r>
          </w:p>
        </w:tc>
        <w:tc>
          <w:tcPr>
            <w:tcW w:w="135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 B/Pil</w:t>
            </w:r>
          </w:p>
        </w:tc>
      </w:tr>
      <w:tr w:rsidR="002F1C54" w:rsidRPr="00D7229B" w:rsidTr="00D73F13">
        <w:trPr>
          <w:trHeight w:val="6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2000</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233</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243</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200</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750</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19.6</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16.9</w:t>
            </w:r>
          </w:p>
        </w:tc>
      </w:tr>
      <w:tr w:rsidR="002F1C54" w:rsidRPr="00D7229B" w:rsidTr="00D73F13">
        <w:trPr>
          <w:trHeight w:val="14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2001</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254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384</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636</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20.4</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17.5</w:t>
            </w:r>
          </w:p>
        </w:tc>
      </w:tr>
      <w:tr w:rsidR="002F1C54" w:rsidRPr="00D7229B" w:rsidTr="00D73F13">
        <w:trPr>
          <w:trHeight w:val="8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2002</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242</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461</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112</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18.7</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16.1</w:t>
            </w:r>
          </w:p>
        </w:tc>
      </w:tr>
      <w:tr w:rsidR="002F1C54" w:rsidRPr="00D7229B" w:rsidTr="00D73F13">
        <w:trPr>
          <w:trHeight w:val="86"/>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2003</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255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708</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219</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314</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19.2</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16.4</w:t>
            </w:r>
          </w:p>
        </w:tc>
      </w:tr>
      <w:tr w:rsidR="002F1C54" w:rsidRPr="00D7229B" w:rsidTr="00D73F13">
        <w:trPr>
          <w:trHeight w:val="8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2004</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663</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500</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20.5</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17.6</w:t>
            </w:r>
          </w:p>
        </w:tc>
      </w:tr>
      <w:tr w:rsidR="002F1C54" w:rsidRPr="00D7229B" w:rsidTr="00D73F13">
        <w:trPr>
          <w:trHeight w:val="8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2005</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592</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489</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20.0</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17.2</w:t>
            </w:r>
          </w:p>
        </w:tc>
      </w:tr>
      <w:tr w:rsidR="002F1C54" w:rsidRPr="00D7229B" w:rsidTr="00D73F13">
        <w:trPr>
          <w:trHeight w:val="8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2006</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314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183</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271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922</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21.2</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18.3</w:t>
            </w:r>
          </w:p>
        </w:tc>
      </w:tr>
      <w:tr w:rsidR="002F1C54" w:rsidRPr="00D7229B" w:rsidTr="00D73F13">
        <w:trPr>
          <w:trHeight w:val="230"/>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2007</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054</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236</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760</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17.8</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15.3</w:t>
            </w:r>
          </w:p>
        </w:tc>
      </w:tr>
      <w:tr w:rsidR="002F1C54" w:rsidRPr="00D7229B" w:rsidTr="00D73F13">
        <w:trPr>
          <w:trHeight w:val="203"/>
        </w:trPr>
        <w:tc>
          <w:tcPr>
            <w:tcW w:w="825"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2008</w:t>
            </w:r>
          </w:p>
        </w:tc>
        <w:tc>
          <w:tcPr>
            <w:tcW w:w="2880" w:type="dxa"/>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978</w:t>
            </w:r>
          </w:p>
        </w:tc>
        <w:tc>
          <w:tcPr>
            <w:tcW w:w="288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847</w:t>
            </w:r>
          </w:p>
        </w:tc>
        <w:tc>
          <w:tcPr>
            <w:tcW w:w="144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18.0</w:t>
            </w:r>
          </w:p>
        </w:tc>
        <w:tc>
          <w:tcPr>
            <w:tcW w:w="1350" w:type="dxa"/>
            <w:gridSpan w:val="2"/>
            <w:tcBorders>
              <w:top w:val="nil"/>
              <w:left w:val="nil"/>
              <w:bottom w:val="nil"/>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15.4</w:t>
            </w:r>
          </w:p>
        </w:tc>
      </w:tr>
      <w:tr w:rsidR="002F1C54" w:rsidRPr="00D7229B" w:rsidTr="00D73F13">
        <w:trPr>
          <w:trHeight w:val="86"/>
        </w:trPr>
        <w:tc>
          <w:tcPr>
            <w:tcW w:w="825"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2009</w:t>
            </w:r>
          </w:p>
        </w:tc>
        <w:tc>
          <w:tcPr>
            <w:tcW w:w="2880" w:type="dxa"/>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587</w:t>
            </w:r>
          </w:p>
        </w:tc>
        <w:tc>
          <w:tcPr>
            <w:tcW w:w="288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974</w:t>
            </w:r>
          </w:p>
        </w:tc>
        <w:tc>
          <w:tcPr>
            <w:tcW w:w="144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16.4</w:t>
            </w:r>
          </w:p>
        </w:tc>
        <w:tc>
          <w:tcPr>
            <w:tcW w:w="1350" w:type="dxa"/>
            <w:gridSpan w:val="2"/>
            <w:tcBorders>
              <w:top w:val="nil"/>
              <w:left w:val="nil"/>
              <w:bottom w:val="single" w:sz="8" w:space="0" w:color="auto"/>
              <w:right w:val="nil"/>
            </w:tcBorders>
            <w:shd w:val="clear" w:color="auto" w:fill="auto"/>
            <w:noWrap/>
            <w:vAlign w:val="bottom"/>
            <w:hideMark/>
          </w:tcPr>
          <w:p w:rsidR="002F1C54" w:rsidRPr="00D7229B" w:rsidRDefault="002F1C54" w:rsidP="00D73F13">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14.2</w:t>
            </w:r>
          </w:p>
        </w:tc>
      </w:tr>
      <w:tr w:rsidR="002F1C54" w:rsidRPr="00D7229B" w:rsidTr="00D73F13">
        <w:trPr>
          <w:trHeight w:val="60"/>
        </w:trPr>
        <w:tc>
          <w:tcPr>
            <w:tcW w:w="3872" w:type="dxa"/>
            <w:gridSpan w:val="3"/>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Giovannini  et al. 2011</w:t>
            </w:r>
          </w:p>
        </w:tc>
        <w:tc>
          <w:tcPr>
            <w:tcW w:w="3199"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240"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064" w:type="dxa"/>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Purtroppo, nel caso del nostro studio, questi dati non possono essere utilizzati in quanto relativi a fenomeni particolari e in ogni caso ancora basati su cifre non definitive. Pertanto, nel nostro studio, almeno per quanto concerne i dati relativi alla base imponibile non dichiarata (sia quella stimata dall’ISTAT, sia quella tramite IVA e IRAP) faremo riferimento ai dati ufficiali più aggiornati al momento disponibili. Diversamente, invece, nella sezione nella quale saranno analizzati i dati relativi alle attività ispettive svolte dagli enti preposti, sarà possibile proporre delle stime dell’entità evasa a livello provinciale e comunale con riferimento al 2011. Tale aspetto positivo sconta però le diverse limitazioni che caratterizzano tale dato e che verranno discusse in maniera approfondita nella sezione dedicata.</w:t>
      </w:r>
    </w:p>
    <w:p w:rsidR="002F1C54" w:rsidRDefault="002F1C54" w:rsidP="002F1C54">
      <w:pPr>
        <w:spacing w:line="360" w:lineRule="auto"/>
        <w:jc w:val="both"/>
      </w:pPr>
      <w:r>
        <w:t xml:space="preserve">Tornando invece al dato relativo alla base imponibile non dichiarata, di particolare utilità risulta essere il dato fornito dalla Corte dei Conti nell’audizione fatta a Luglio 2012, il quale permette di sviscerare il valore dell’IVA e dell’IRAP per macro-area (Nord-Ovest, Nord-Est, Centro e Sud) come media degli anni 2007, 2008 e 2009. Al momento abbiamo parlato solo delle stime basate sull’IVA, pertanto, prima di osservare i dati più aggiornati, é sicuramente utile aprire una breve panoramica sugli ultimi studi svolti dall’Agenzia delle Entrate con riferimento all’IRAP, i quali pur </w:t>
      </w:r>
      <w:r>
        <w:lastRenderedPageBreak/>
        <w:t xml:space="preserve">essendo relativi ad un arco temporale ormai un pò datato (1998-2002) sono gli unici che permettono di delineare un quadro a livello di singola provincia. </w:t>
      </w:r>
    </w:p>
    <w:p w:rsidR="002F1C54" w:rsidRDefault="002F1C54" w:rsidP="002F1C54">
      <w:pPr>
        <w:spacing w:line="360" w:lineRule="auto"/>
        <w:jc w:val="both"/>
      </w:pPr>
    </w:p>
    <w:p w:rsidR="002F1C54" w:rsidRPr="00043771" w:rsidRDefault="002F1C54" w:rsidP="002F1C54">
      <w:pPr>
        <w:pStyle w:val="Titolo2"/>
        <w:spacing w:before="0" w:line="360" w:lineRule="auto"/>
        <w:rPr>
          <w:rFonts w:ascii="Times New Roman" w:hAnsi="Times New Roman" w:cs="Times New Roman"/>
          <w:color w:val="auto"/>
          <w:sz w:val="24"/>
          <w:szCs w:val="24"/>
        </w:rPr>
      </w:pPr>
      <w:bookmarkStart w:id="8" w:name="_Toc359506056"/>
      <w:r w:rsidRPr="00043771">
        <w:rPr>
          <w:rFonts w:ascii="Times New Roman" w:hAnsi="Times New Roman" w:cs="Times New Roman"/>
          <w:color w:val="auto"/>
          <w:sz w:val="24"/>
          <w:szCs w:val="24"/>
        </w:rPr>
        <w:t>L’evasione fiscale fondata sui dati IRAP</w:t>
      </w:r>
      <w:bookmarkEnd w:id="8"/>
    </w:p>
    <w:p w:rsidR="002F1C54" w:rsidRDefault="002F1C54" w:rsidP="002F1C54">
      <w:pPr>
        <w:spacing w:line="360" w:lineRule="auto"/>
        <w:jc w:val="both"/>
      </w:pPr>
    </w:p>
    <w:p w:rsidR="002F1C54" w:rsidRDefault="002F1C54" w:rsidP="002F1C54">
      <w:pPr>
        <w:spacing w:line="360" w:lineRule="auto"/>
        <w:jc w:val="both"/>
      </w:pPr>
      <w:r>
        <w:t>Per calcolare l’evasione totale, l’Agenzia delle entrate ha fatto uso anche del dato relativo all’IRAP confrontando i dati relativi alle dichiarazioni IRAP (che riflettono la situazione economica dichiarata dai contribuenti) con i valori forniti dalla contabilità nazionale dell’ISTAT (i quali misurano al loro interno anche la componente non dichiarata al fisco).</w:t>
      </w:r>
    </w:p>
    <w:p w:rsidR="002F1C54" w:rsidRDefault="002F1C54" w:rsidP="002F1C54">
      <w:pPr>
        <w:spacing w:line="360" w:lineRule="auto"/>
        <w:jc w:val="both"/>
      </w:pPr>
      <w:r>
        <w:t xml:space="preserve">L’idea di fondo, pertanto, consiste nel misurare lo scarto tra le due differenti tipologie informative per ottenere la componente occultata al fisco. Come sottolineato in Pisani e Polito (2006a e 2006b), attraverso questa procedura è possibile misurare l’entità e l’intensità del fenomeno in questione. La prima misura indica il valore assoluto non dichiarato e assume particolare importanza nell’ottica di comprendere a quanto ammonti il potenziale valore economico recuperabile attraverso una forte politica di contrasto dell’evasione fiscale. Il secondo indicatore, invece, rapportando l’entità evasa alla capacità economica del territorio preso in considerazione, permette di comprendere quale sia il livello di </w:t>
      </w:r>
      <w:r>
        <w:rPr>
          <w:i/>
        </w:rPr>
        <w:t>tax compliance</w:t>
      </w:r>
      <w:r>
        <w:t xml:space="preserve"> di quell’area. </w:t>
      </w:r>
    </w:p>
    <w:p w:rsidR="002F1C54" w:rsidRDefault="002F1C54" w:rsidP="002F1C54">
      <w:pPr>
        <w:spacing w:line="360" w:lineRule="auto"/>
        <w:jc w:val="both"/>
      </w:pPr>
      <w:r>
        <w:t>Dal nostro punto di vista, se il dato inerente all’entità dell’evasione è sicuramente importante in termini descrittivi, vale a dire per comprendere a quanto ammonti l’entità evasa, dall’altro lato potrebbe risultare fuorviante nell’ottica di comprendere correttamente dove il fenomeno dell’evasione fiscale sia un fenomeno endemico e dove risulti essere un comportamento abbastanza inusuale. Infatti, come si vedrà meglio nella sezione successiva all’interno della quale saranno mostrati i risultati principali delle precedenti ricerche svolte dalla Banca d’Italia e dall’Ufficio delle Entrate, il primo tipo di informazione (quello relativo all’entità) tende a dare rilievo alle entità territoriali maggiormente abitate (Roma, Milano, Torino, Napoli, etc), il secondo invece (l’intensità) permette di osservare la forte eterogeneità territoriale del fenomeno e modifica in modo significativo la classifica delle realtà a rischio di evasione. Infatti, se da un lato tende ad accentuare la tradizionale dicotomia Nord-Sud, dall’altro mostra chiaramente come la propensione all’evasione fiscale sia molto differente all’interno delle medesime regioni italiani (sia del Nord che del Sud), le quali tendono a caratterizzarsi per la compresenza sia di province virtuose sia di province con una forte propensione all’elusione fiscale.</w:t>
      </w:r>
    </w:p>
    <w:p w:rsidR="002F1C54" w:rsidRDefault="002F1C54" w:rsidP="002F1C54">
      <w:pPr>
        <w:spacing w:line="360" w:lineRule="auto"/>
        <w:jc w:val="both"/>
      </w:pPr>
      <w:r>
        <w:t xml:space="preserve">Sono due i risultati principali che si possono trarre dai pochi studi svolti negli anni passati (ISTAT, Pisani e Polito 2006a). In primo luogo, la propensione all’evasione fiscale varia fortemente in funzione del settore economico considerato, anche se esistono nette differenze a seconda che si </w:t>
      </w:r>
      <w:r>
        <w:lastRenderedPageBreak/>
        <w:t>prenda in considerazione l’entità o l’intensità del fenomeno. Secondariamente, aspetto questo preoccupante in termini di politiche di contrasto all’evasione, le politiche di controllo sembrano incapaci a produrre dei risultati che possano considerarsi effettivi. Infatti, i risultati delle precedenti ricerche pongono chiaramente in evidenza come le aree meno virtuose in termini di intensità dell’evasione (concentrate soprattutto nelle regioni del Centro-Sud Italia) siano anche quelle in cui la probabilità di subire accertamenti è significativamente superiore al dato nazionale (Pisani e Polito 2006). Inoltre, come si vede dai dati forniti (anche se gli autori dello studio non arrivano a questa conclusione), la variazione dell’ammontare evaso sembra essere fortemente correlata con il ciclo economico: in contrazione nelle fasi di espansione economica, in crescita quando l’economia rallenta.</w:t>
      </w:r>
    </w:p>
    <w:p w:rsidR="002F1C54" w:rsidRDefault="002F1C54" w:rsidP="002F1C54">
      <w:pPr>
        <w:spacing w:line="360" w:lineRule="auto"/>
        <w:jc w:val="both"/>
      </w:pPr>
      <w:r>
        <w:t xml:space="preserve">Per quanto concerne l’ammontare evaso stimato usando i dati dell’IRAP, il dato più aggiornato fornito dall’Agenzia delle Entrate fa riferimento all’arco temporale 1998-2002 (Pisani e Polito 2006). Come si può osservare dai risultati, dopo una significativa contrazione nel primo biennio (da 218 miliardi evasi nel 1998 a 192 nel 2000), il dato è tornato a crescere fino a 202 miliardi nel 2002. Il risultato conferma, purtroppo, come le fasi di espansione e rallentamento economico riescano a spiegare meglio le variazioni del fenomeno piuttosto che l’attività di controllo sul territorio. Nonostante le variazioni, inoltre, i dati mostrano chiaramente come l’impatto sul dato complessivo dei vari settori economici si sia mantenuto abbastanza simile nel corso degli anni. Questo aspetto può essere utilizzato nel nostro progetto per aggiornare i dati ad anni più recenti partendo dal dato fornito dalla Corte dei Conti nel 2012 e relativo al gettito IRAP evaso a livello nazionale e di macro-area. Inoltre, nel nostro studio ipotizzeremo che l’impatto dei settori economici, disponibile a livello nazionale, sia il medesimo anche a livello regionale e provinciale. In questo modo diventa possibile stimare l’ammontare eluso dai vari settori all’interno di realtà territoriali più circoscritte. </w:t>
      </w:r>
    </w:p>
    <w:p w:rsidR="002F1C54" w:rsidRDefault="002F1C54" w:rsidP="002F1C54">
      <w:pPr>
        <w:spacing w:line="360" w:lineRule="auto"/>
        <w:jc w:val="both"/>
      </w:pPr>
      <w:r>
        <w:t xml:space="preserve">Come si può osservare dalla tabella sottostante, il settore economico all’interno del quale è possibile </w:t>
      </w:r>
    </w:p>
    <w:p w:rsidR="002F1C54" w:rsidRDefault="002F1C54" w:rsidP="002F1C54">
      <w:pPr>
        <w:spacing w:line="360" w:lineRule="auto"/>
        <w:jc w:val="both"/>
      </w:pPr>
    </w:p>
    <w:tbl>
      <w:tblPr>
        <w:tblW w:w="8375" w:type="dxa"/>
        <w:jc w:val="center"/>
        <w:tblInd w:w="55" w:type="dxa"/>
        <w:tblCellMar>
          <w:left w:w="70" w:type="dxa"/>
          <w:right w:w="70" w:type="dxa"/>
        </w:tblCellMar>
        <w:tblLook w:val="0000"/>
      </w:tblPr>
      <w:tblGrid>
        <w:gridCol w:w="3146"/>
        <w:gridCol w:w="1369"/>
        <w:gridCol w:w="1260"/>
        <w:gridCol w:w="1260"/>
        <w:gridCol w:w="1340"/>
      </w:tblGrid>
      <w:tr w:rsidR="002F1C54" w:rsidTr="00D73F13">
        <w:trPr>
          <w:trHeight w:val="270"/>
          <w:jc w:val="center"/>
        </w:trPr>
        <w:tc>
          <w:tcPr>
            <w:tcW w:w="7035" w:type="dxa"/>
            <w:gridSpan w:val="4"/>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Entità dell'evasione e composizione per settore economico.</w:t>
            </w:r>
            <w:r>
              <w:rPr>
                <w:rFonts w:ascii="Garamond" w:hAnsi="Garamond" w:cs="Arial"/>
                <w:sz w:val="20"/>
                <w:szCs w:val="20"/>
              </w:rPr>
              <w:t xml:space="preserve"> Italia</w:t>
            </w:r>
          </w:p>
        </w:tc>
        <w:tc>
          <w:tcPr>
            <w:tcW w:w="13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r>
      <w:tr w:rsidR="002F1C54" w:rsidTr="00D73F13">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2629" w:type="dxa"/>
            <w:gridSpan w:val="2"/>
            <w:tcBorders>
              <w:top w:val="single" w:sz="8" w:space="0" w:color="auto"/>
              <w:left w:val="nil"/>
              <w:bottom w:val="single" w:sz="8" w:space="0" w:color="auto"/>
              <w:right w:val="single" w:sz="4" w:space="0" w:color="000000"/>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1998</w:t>
            </w:r>
          </w:p>
        </w:tc>
        <w:tc>
          <w:tcPr>
            <w:tcW w:w="2600" w:type="dxa"/>
            <w:gridSpan w:val="2"/>
            <w:tcBorders>
              <w:top w:val="single" w:sz="8" w:space="0" w:color="auto"/>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2002</w:t>
            </w:r>
          </w:p>
        </w:tc>
      </w:tr>
      <w:tr w:rsidR="002F1C54" w:rsidTr="00D73F13">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136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entità</w:t>
            </w:r>
          </w:p>
        </w:tc>
        <w:tc>
          <w:tcPr>
            <w:tcW w:w="126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w:t>
            </w:r>
          </w:p>
        </w:tc>
        <w:tc>
          <w:tcPr>
            <w:tcW w:w="126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entità</w:t>
            </w:r>
          </w:p>
        </w:tc>
        <w:tc>
          <w:tcPr>
            <w:tcW w:w="13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Agricoltura</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10,386</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4,7</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9,223</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4,6</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Industria</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25,587</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11,7</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21,287</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10,5</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Costruzioni</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8,507</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3,9</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8,153</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4,1</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Commercio</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53,369</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24,5</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43,006</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21,2</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Servizi alle imprese</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78,009</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35,8</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74,586</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36,8</w:t>
            </w:r>
          </w:p>
        </w:tc>
      </w:tr>
      <w:tr w:rsidR="002F1C54" w:rsidTr="00D73F13">
        <w:trPr>
          <w:trHeight w:val="255"/>
          <w:jc w:val="center"/>
        </w:trPr>
        <w:tc>
          <w:tcPr>
            <w:tcW w:w="3146"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Servizi alle famiglie</w:t>
            </w:r>
          </w:p>
        </w:tc>
        <w:tc>
          <w:tcPr>
            <w:tcW w:w="136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42,249</w:t>
            </w:r>
          </w:p>
        </w:tc>
        <w:tc>
          <w:tcPr>
            <w:tcW w:w="126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19,4</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46,219</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22,8</w:t>
            </w:r>
          </w:p>
        </w:tc>
      </w:tr>
      <w:tr w:rsidR="002F1C54" w:rsidTr="00D73F13">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Pubblica Amministrazione</w:t>
            </w:r>
          </w:p>
        </w:tc>
        <w:tc>
          <w:tcPr>
            <w:tcW w:w="136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w:t>
            </w:r>
          </w:p>
        </w:tc>
        <w:tc>
          <w:tcPr>
            <w:tcW w:w="126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0,0</w:t>
            </w:r>
          </w:p>
        </w:tc>
        <w:tc>
          <w:tcPr>
            <w:tcW w:w="126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w:t>
            </w:r>
          </w:p>
        </w:tc>
        <w:tc>
          <w:tcPr>
            <w:tcW w:w="13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w:t>
            </w:r>
          </w:p>
        </w:tc>
      </w:tr>
      <w:tr w:rsidR="002F1C54" w:rsidTr="00D73F13">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Totale</w:t>
            </w:r>
          </w:p>
        </w:tc>
        <w:tc>
          <w:tcPr>
            <w:tcW w:w="136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218,107</w:t>
            </w:r>
          </w:p>
        </w:tc>
        <w:tc>
          <w:tcPr>
            <w:tcW w:w="126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100</w:t>
            </w:r>
          </w:p>
        </w:tc>
        <w:tc>
          <w:tcPr>
            <w:tcW w:w="126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202,484</w:t>
            </w:r>
          </w:p>
        </w:tc>
        <w:tc>
          <w:tcPr>
            <w:tcW w:w="13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100</w:t>
            </w:r>
          </w:p>
        </w:tc>
      </w:tr>
      <w:tr w:rsidR="002F1C54" w:rsidTr="00D73F13">
        <w:trPr>
          <w:trHeight w:val="60"/>
          <w:jc w:val="center"/>
        </w:trPr>
        <w:tc>
          <w:tcPr>
            <w:tcW w:w="7035" w:type="dxa"/>
            <w:gridSpan w:val="4"/>
            <w:tcBorders>
              <w:top w:val="nil"/>
              <w:left w:val="nil"/>
              <w:bottom w:val="nil"/>
              <w:right w:val="nil"/>
            </w:tcBorders>
            <w:shd w:val="clear" w:color="auto" w:fill="auto"/>
            <w:noWrap/>
            <w:vAlign w:val="bottom"/>
          </w:tcPr>
          <w:p w:rsidR="002F1C54" w:rsidRDefault="002F1C54" w:rsidP="00D73F13">
            <w:pPr>
              <w:rPr>
                <w:rFonts w:ascii="Garamond" w:hAnsi="Garamond" w:cs="Arial"/>
                <w:b/>
                <w:bCs/>
                <w:sz w:val="18"/>
                <w:szCs w:val="18"/>
              </w:rPr>
            </w:pPr>
            <w:r>
              <w:rPr>
                <w:rFonts w:ascii="Garamond" w:hAnsi="Garamond" w:cs="Arial"/>
                <w:b/>
                <w:bCs/>
                <w:sz w:val="18"/>
                <w:szCs w:val="18"/>
              </w:rPr>
              <w:t>Fonte: Ufficio Studi Agenzia delle Entrate. Pisani e Polito, 2006a</w:t>
            </w: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80"/>
          <w:jc w:val="center"/>
        </w:trPr>
        <w:tc>
          <w:tcPr>
            <w:tcW w:w="4515" w:type="dxa"/>
            <w:gridSpan w:val="2"/>
            <w:tcBorders>
              <w:top w:val="nil"/>
              <w:left w:val="nil"/>
              <w:bottom w:val="nil"/>
              <w:right w:val="nil"/>
            </w:tcBorders>
            <w:shd w:val="clear" w:color="auto" w:fill="auto"/>
            <w:noWrap/>
            <w:vAlign w:val="bottom"/>
          </w:tcPr>
          <w:p w:rsidR="002F1C54" w:rsidRDefault="002F1C54" w:rsidP="00D73F13">
            <w:pPr>
              <w:rPr>
                <w:rFonts w:ascii="Garamond" w:hAnsi="Garamond" w:cs="Arial"/>
                <w:b/>
                <w:bCs/>
                <w:sz w:val="18"/>
                <w:szCs w:val="18"/>
              </w:rPr>
            </w:pPr>
            <w:r>
              <w:rPr>
                <w:rFonts w:ascii="Garamond" w:hAnsi="Garamond" w:cs="Arial"/>
                <w:b/>
                <w:bCs/>
                <w:sz w:val="18"/>
                <w:szCs w:val="18"/>
              </w:rPr>
              <w:t>Entità (dati in miliardi di euro)</w:t>
            </w: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26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bl>
    <w:p w:rsidR="002F1C54" w:rsidRDefault="002F1C54" w:rsidP="002F1C54">
      <w:pPr>
        <w:spacing w:line="360" w:lineRule="auto"/>
        <w:jc w:val="both"/>
      </w:pPr>
    </w:p>
    <w:p w:rsidR="002F1C54" w:rsidRDefault="002F1C54" w:rsidP="002F1C54">
      <w:pPr>
        <w:spacing w:line="360" w:lineRule="auto"/>
        <w:jc w:val="both"/>
      </w:pPr>
      <w:r>
        <w:lastRenderedPageBreak/>
        <w:t>individuare l’ammontare evaso maggiore (in termini assoluti, ma non relativi alla capacità economica del settore) risulta essere quello dei servizi alle imprese, vale a dire l’insieme dei settori dei trasporti, comunicazione, intermediazione monetaria e finanziaria e immobiliare (74,6 miliardi evasi a livello nazionale pari al 36,8% del totale evaso), seguito da quello dei servizi alle famiglie (alberghi, ristoranti, bar, istruzione, sanità e altri servizi pubblici e sociali) per un valore pari 46,2 miliardi e il commercio all’ingrosso e al dettaglio (43 miliardi). Molto più contenuto, almeno in termini assoluti, il dato relativo al settore agricolo (9,2 miliardi) e a quello delle costruzioni (8,2 miliardi). La tabella sottostante mostra, quindi, i settori all’interno dei quali risulta possibile reperire il quantitativo maggiore di risorse utili per aumentare la spesa sociale in Italia.</w:t>
      </w:r>
    </w:p>
    <w:p w:rsidR="002F1C54" w:rsidRDefault="002F1C54" w:rsidP="002F1C54">
      <w:pPr>
        <w:spacing w:line="360" w:lineRule="auto"/>
        <w:jc w:val="both"/>
      </w:pPr>
      <w:r w:rsidRPr="00790920">
        <w:t>Questo</w:t>
      </w:r>
      <w:r>
        <w:t xml:space="preserve"> dato contrasta in modo abbastanza significativo con il dato relativo all’intensità dell’evasione. Infatti, in questo caso, rapportando il dato del quantitativo evaso con la capacità economica (valore aggiunto) dello specifico settore è possibile osservare come il settore nel quale la tendenza all’evasione risulta essere più diffusa sia quello agricolo (con un livello di evasione pari al 63,6%), seguito dalla componente dei servizi (commercio 44% e servizi alle famiglie e alle imprese entrambe con un valore pari al 40,6%). Si conferma il dato molto contenuto relativo all’industria in senso stretto, all’interno del quale il quantitativo evaso risulta solamente dell’8,7%. </w:t>
      </w:r>
    </w:p>
    <w:p w:rsidR="002F1C54" w:rsidRDefault="002F1C54" w:rsidP="002F1C54">
      <w:pPr>
        <w:spacing w:line="360" w:lineRule="auto"/>
        <w:jc w:val="both"/>
      </w:pPr>
    </w:p>
    <w:tbl>
      <w:tblPr>
        <w:tblW w:w="6315" w:type="dxa"/>
        <w:jc w:val="center"/>
        <w:tblInd w:w="55" w:type="dxa"/>
        <w:tblCellMar>
          <w:left w:w="70" w:type="dxa"/>
          <w:right w:w="70" w:type="dxa"/>
        </w:tblCellMar>
        <w:tblLook w:val="0000"/>
      </w:tblPr>
      <w:tblGrid>
        <w:gridCol w:w="3435"/>
        <w:gridCol w:w="1440"/>
        <w:gridCol w:w="1440"/>
      </w:tblGrid>
      <w:tr w:rsidR="002F1C54" w:rsidTr="00D73F13">
        <w:trPr>
          <w:trHeight w:val="270"/>
          <w:jc w:val="center"/>
        </w:trPr>
        <w:tc>
          <w:tcPr>
            <w:tcW w:w="6315" w:type="dxa"/>
            <w:gridSpan w:val="3"/>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Intensità dell'evasione e composizione per settore economico.</w:t>
            </w:r>
            <w:r>
              <w:rPr>
                <w:rFonts w:ascii="Garamond" w:hAnsi="Garamond" w:cs="Arial"/>
                <w:sz w:val="20"/>
                <w:szCs w:val="20"/>
              </w:rPr>
              <w:t xml:space="preserve"> Italia</w:t>
            </w:r>
          </w:p>
        </w:tc>
      </w:tr>
      <w:tr w:rsidR="002F1C54" w:rsidTr="00D73F13">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1998</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2002</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Agricoltura</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76,8</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63,6</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Industria</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12,1</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8,7</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Costruzioni</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22,7</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17,2</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Commercio</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72,1</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44,0</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Servizi alle imprese</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60,6</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40,6</w:t>
            </w:r>
          </w:p>
        </w:tc>
      </w:tr>
      <w:tr w:rsidR="002F1C54" w:rsidTr="00D73F13">
        <w:trPr>
          <w:trHeight w:val="255"/>
          <w:jc w:val="center"/>
        </w:trPr>
        <w:tc>
          <w:tcPr>
            <w:tcW w:w="3435"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Servizi alle famiglie</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47,4</w:t>
            </w:r>
          </w:p>
        </w:tc>
        <w:tc>
          <w:tcPr>
            <w:tcW w:w="144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40,6</w:t>
            </w:r>
          </w:p>
        </w:tc>
      </w:tr>
      <w:tr w:rsidR="002F1C54" w:rsidTr="00D73F13">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Pubblica Amministrazione</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0,0</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0,0</w:t>
            </w:r>
          </w:p>
        </w:tc>
      </w:tr>
      <w:tr w:rsidR="002F1C54" w:rsidTr="00D73F13">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Totale</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37,5</w:t>
            </w:r>
          </w:p>
        </w:tc>
        <w:tc>
          <w:tcPr>
            <w:tcW w:w="144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27,3</w:t>
            </w:r>
          </w:p>
        </w:tc>
      </w:tr>
      <w:tr w:rsidR="002F1C54" w:rsidTr="00D73F13">
        <w:trPr>
          <w:trHeight w:val="255"/>
          <w:jc w:val="center"/>
        </w:trPr>
        <w:tc>
          <w:tcPr>
            <w:tcW w:w="6315" w:type="dxa"/>
            <w:gridSpan w:val="3"/>
            <w:tcBorders>
              <w:top w:val="nil"/>
              <w:left w:val="nil"/>
              <w:bottom w:val="nil"/>
              <w:right w:val="nil"/>
            </w:tcBorders>
            <w:shd w:val="clear" w:color="auto" w:fill="auto"/>
            <w:noWrap/>
            <w:vAlign w:val="bottom"/>
          </w:tcPr>
          <w:p w:rsidR="002F1C54" w:rsidRDefault="002F1C54" w:rsidP="00D73F13">
            <w:pPr>
              <w:rPr>
                <w:rFonts w:ascii="Garamond" w:hAnsi="Garamond" w:cs="Arial"/>
                <w:b/>
                <w:bCs/>
                <w:sz w:val="18"/>
                <w:szCs w:val="18"/>
              </w:rPr>
            </w:pPr>
            <w:r>
              <w:rPr>
                <w:rFonts w:ascii="Garamond" w:hAnsi="Garamond" w:cs="Arial"/>
                <w:b/>
                <w:bCs/>
                <w:sz w:val="18"/>
                <w:szCs w:val="18"/>
              </w:rPr>
              <w:t>Fonte: Ufficio Studi Agenzia delle Entrate. Pisani e Polito, 2006</w:t>
            </w: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Il dato precedente, però, indica chiaramente come concentrare i controlli nel settore agricolo, per quanto ad elevata propensione all’evasione, potrebbe non portare a ricavi significativi in termini di risorse. Più proficuo, quindi, concentrare l’attività di recupero dell’evasione nel commercio e nelle attività dei servizi.</w:t>
      </w:r>
    </w:p>
    <w:p w:rsidR="002F1C54" w:rsidRDefault="002F1C54" w:rsidP="002F1C54">
      <w:pPr>
        <w:spacing w:line="360" w:lineRule="auto"/>
        <w:jc w:val="both"/>
      </w:pPr>
      <w:r>
        <w:t xml:space="preserve">I dati forniti permettono anche di avere una definizione del fenomeno anche a livello regionale e provinciale. Mostrando il dato relativo alle principali regioni del Centro-Nord Italia è possibile osservare come, considerando il dato relativo all’intensità dell’evasione sul totale della ricchezza prodotta, la regione italiana più virtuosa risulti essere </w:t>
      </w:r>
      <w:smartTag w:uri="urn:schemas-microsoft-com:office:smarttags" w:element="PersonName">
        <w:smartTagPr>
          <w:attr w:name="ProductID" w:val="la Lombardia"/>
        </w:smartTagPr>
        <w:r>
          <w:t>la Lombardia</w:t>
        </w:r>
      </w:smartTag>
      <w:r>
        <w:t xml:space="preserve"> (13%), seguita da Emilia-</w:t>
      </w:r>
      <w:r>
        <w:lastRenderedPageBreak/>
        <w:t>Romagna (22,1%) e Veneto (22,3%). Più intenso invece il dato relativo alla regione Piemonte nella quale l’evasione raggiunge il 30,5% della ricchezza prodotta (con riferimento all’anno 2002). Anche in questo caso, esiste un forte scostamento con il dato relativo all’entità. Infatti, prendendo questo valore come riferimento diventa possibile osservare come la regione Lombardia risulti essere la regione con il più elevato livello di evasione economica (21,5 miliardi evasi), seguita dalla Campania (20,3 miliardi) e dalla Sicilia (18,3 miliardi).</w:t>
      </w:r>
    </w:p>
    <w:p w:rsidR="002F1C54" w:rsidRDefault="002F1C54" w:rsidP="002F1C54">
      <w:pPr>
        <w:spacing w:line="360" w:lineRule="auto"/>
        <w:jc w:val="both"/>
      </w:pPr>
      <w:r>
        <w:t>Da sottolineare come nel corso del periodo considerato (1998-2002) l’intensità dell’evasione fiscale sulla ricchezza prodotta nella regione Lombardia si sia ridotta di quasi il 9%. Inoltre, occorre sottolineare come il dato medio regionale sia il prodotto della presenza di province che hanno peggiorato il dato relativo al livello di “compliance” fiscale (Pavia, Lodi, Como e Milano), province che si sono caratterizzate per una sostanziale stabilità del dato (Bergamo e Brescia) e province che si sono contraddistinte per un miglioramento del proprio dato (Sondrio, Lecco, Cremona e Mantova).</w:t>
      </w:r>
    </w:p>
    <w:p w:rsidR="002F1C54" w:rsidRDefault="002F1C54" w:rsidP="002F1C54">
      <w:pPr>
        <w:spacing w:line="360" w:lineRule="auto"/>
        <w:jc w:val="both"/>
      </w:pPr>
      <w:r>
        <w:t>Il dato a livello provinciale (per quanto al momento fermo al 2002) permette di avere un quadro preciso della profonda differenza a livello territoriale ad indicare che le analisi svolte a livello superiore (regionale, per macro-aree e nazionale) non sono capaci di comprendere appieno il fenomeno. Anche in questo caso, è necessario distinguere tra entità e intensità del fenomeno. Infatti, se nel primo caso è la provincia di Milano a mostrare il dato più allarmante (con un livello di evasione fiscale pari a 5,5 miliardi di euro, la quarta provincia a livello nazionale dopo Roma, Napoli e Torino), rapportando il dato alla ricchezza prodotta dalla provincia è possibile osservare come la realtà di Milano sia, a livello regionale e nazionale (con la sola eccezione di Bologna), la più virtuosa (con una percentuale di ricchezza evasa pari al 6,2%.</w:t>
      </w:r>
    </w:p>
    <w:p w:rsidR="002F1C54" w:rsidRDefault="002F1C54" w:rsidP="002F1C54">
      <w:pPr>
        <w:spacing w:line="360" w:lineRule="auto"/>
        <w:jc w:val="both"/>
      </w:pPr>
      <w:r>
        <w:t>La tabella sottostante mostra chiaramente come, in termini di intensità di evasione della ricchezza prodotta, le province all’interno delle quali risulta essere necessario rafforzare politiche di controllo siano Lodi (con il 33,9% della ricchezza prodotta evasa), Sondrio (31,3%), Pavia (29,3%), Lecco (27,8%) e Mantova (26,9%). In realtà, dato l’altissimo livello di evasione fiscale in queste realtà si potrebbe parlare della necessità si attivare politiche per il ripristino della legalità piuttosto che di attività volte a rafforzare il livello di “compliance”. Diverso il discorso in termini di entità dell’evasione ottenibile dal rafforzamento delle politiche di contrasto all’evasione. In questo caso, le politiche di controllo otterrebbero maggiori risorse concentrandosi all’interno delle realtà di Milano, Brescia, Bergamo e Varese, sebbene all’interno di molte di queste aree il fenomeno non assuma il livello di diffusione propria delle precedenti.</w:t>
      </w:r>
    </w:p>
    <w:p w:rsidR="002F1C54" w:rsidRDefault="002F1C54" w:rsidP="002F1C54">
      <w:pPr>
        <w:spacing w:line="360" w:lineRule="auto"/>
        <w:jc w:val="both"/>
      </w:pPr>
    </w:p>
    <w:p w:rsidR="002F1C54" w:rsidRDefault="002F1C54" w:rsidP="002F1C54">
      <w:pPr>
        <w:spacing w:line="360" w:lineRule="auto"/>
        <w:jc w:val="both"/>
      </w:pPr>
    </w:p>
    <w:tbl>
      <w:tblPr>
        <w:tblW w:w="5061" w:type="dxa"/>
        <w:jc w:val="center"/>
        <w:tblInd w:w="55" w:type="dxa"/>
        <w:tblCellMar>
          <w:left w:w="70" w:type="dxa"/>
          <w:right w:w="70" w:type="dxa"/>
        </w:tblCellMar>
        <w:tblLook w:val="0000"/>
      </w:tblPr>
      <w:tblGrid>
        <w:gridCol w:w="1897"/>
        <w:gridCol w:w="1599"/>
        <w:gridCol w:w="1565"/>
      </w:tblGrid>
      <w:tr w:rsidR="002F1C54" w:rsidTr="00D73F13">
        <w:trPr>
          <w:trHeight w:val="270"/>
          <w:jc w:val="center"/>
        </w:trPr>
        <w:tc>
          <w:tcPr>
            <w:tcW w:w="5061" w:type="dxa"/>
            <w:gridSpan w:val="3"/>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lastRenderedPageBreak/>
              <w:t xml:space="preserve">Entità e intensità dell'evasione. </w:t>
            </w:r>
            <w:r>
              <w:rPr>
                <w:rFonts w:ascii="Garamond" w:hAnsi="Garamond" w:cs="Arial"/>
                <w:sz w:val="20"/>
                <w:szCs w:val="20"/>
              </w:rPr>
              <w:t>Media 1998-2002.</w:t>
            </w:r>
          </w:p>
        </w:tc>
      </w:tr>
      <w:tr w:rsidR="002F1C54" w:rsidTr="00D73F13">
        <w:trPr>
          <w:trHeight w:val="270"/>
          <w:jc w:val="center"/>
        </w:trPr>
        <w:tc>
          <w:tcPr>
            <w:tcW w:w="1897" w:type="dxa"/>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159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xml:space="preserve"> Entità </w:t>
            </w:r>
          </w:p>
        </w:tc>
        <w:tc>
          <w:tcPr>
            <w:tcW w:w="156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xml:space="preserve"> Intensità </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Sondrio</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629 (5)</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31,3% (33)</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Lodi</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756 (8)</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33,9% (36)</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Cremona</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1.052 (24)</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25,2% (24)</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Lecco</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1.107 (29)</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27,8% (28)</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Mantova</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1.446 (46)</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26,9% (27)</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Como</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1.476 (48)</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20,4% (14)</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Pavia</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1.618 (54)</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29,3% (30)</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Varese</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2.028 (72)</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17,7% (9)</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Bergamo</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2.322 (78)</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15,4% (6)</w:t>
            </w:r>
          </w:p>
        </w:tc>
      </w:tr>
      <w:tr w:rsidR="002F1C54" w:rsidTr="00D73F13">
        <w:trPr>
          <w:trHeight w:val="255"/>
          <w:jc w:val="center"/>
        </w:trPr>
        <w:tc>
          <w:tcPr>
            <w:tcW w:w="1897" w:type="dxa"/>
            <w:tcBorders>
              <w:top w:val="nil"/>
              <w:left w:val="nil"/>
              <w:bottom w:val="nil"/>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Brescia</w:t>
            </w:r>
          </w:p>
        </w:tc>
        <w:tc>
          <w:tcPr>
            <w:tcW w:w="1599"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3.530 (92)</w:t>
            </w:r>
          </w:p>
        </w:tc>
        <w:tc>
          <w:tcPr>
            <w:tcW w:w="156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20,2% (13)</w:t>
            </w:r>
          </w:p>
        </w:tc>
      </w:tr>
      <w:tr w:rsidR="002F1C54" w:rsidTr="00D73F13">
        <w:trPr>
          <w:trHeight w:val="270"/>
          <w:jc w:val="center"/>
        </w:trPr>
        <w:tc>
          <w:tcPr>
            <w:tcW w:w="1897" w:type="dxa"/>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Milano</w:t>
            </w:r>
          </w:p>
        </w:tc>
        <w:tc>
          <w:tcPr>
            <w:tcW w:w="1599"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5.525 (100)</w:t>
            </w:r>
          </w:p>
        </w:tc>
        <w:tc>
          <w:tcPr>
            <w:tcW w:w="156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6,2% (2)</w:t>
            </w:r>
          </w:p>
        </w:tc>
      </w:tr>
      <w:tr w:rsidR="002F1C54" w:rsidTr="00D73F13">
        <w:trPr>
          <w:trHeight w:val="75"/>
          <w:jc w:val="center"/>
        </w:trPr>
        <w:tc>
          <w:tcPr>
            <w:tcW w:w="5061" w:type="dxa"/>
            <w:gridSpan w:val="3"/>
            <w:tcBorders>
              <w:top w:val="nil"/>
              <w:left w:val="nil"/>
              <w:bottom w:val="nil"/>
              <w:right w:val="nil"/>
            </w:tcBorders>
            <w:shd w:val="clear" w:color="auto" w:fill="auto"/>
            <w:noWrap/>
            <w:vAlign w:val="bottom"/>
          </w:tcPr>
          <w:p w:rsidR="002F1C54" w:rsidRDefault="002F1C54" w:rsidP="00D73F13">
            <w:pPr>
              <w:rPr>
                <w:rFonts w:ascii="Garamond" w:hAnsi="Garamond" w:cs="Arial"/>
                <w:b/>
                <w:bCs/>
                <w:sz w:val="16"/>
                <w:szCs w:val="16"/>
              </w:rPr>
            </w:pPr>
            <w:r>
              <w:rPr>
                <w:rFonts w:ascii="Garamond" w:hAnsi="Garamond" w:cs="Arial"/>
                <w:b/>
                <w:bCs/>
                <w:sz w:val="16"/>
                <w:szCs w:val="16"/>
              </w:rPr>
              <w:t>Fonte: Ufficio studi Agenzia delle Entrate. Pisani, Polito 2006.</w:t>
            </w:r>
          </w:p>
        </w:tc>
      </w:tr>
    </w:tbl>
    <w:p w:rsidR="002F1C54" w:rsidRDefault="002F1C54" w:rsidP="002F1C54">
      <w:pPr>
        <w:spacing w:line="360" w:lineRule="auto"/>
        <w:jc w:val="center"/>
        <w:rPr>
          <w:b/>
        </w:rPr>
      </w:pPr>
    </w:p>
    <w:p w:rsidR="002F1C54" w:rsidRPr="00D94A79" w:rsidRDefault="002F1C54" w:rsidP="002F1C54">
      <w:pPr>
        <w:spacing w:line="360" w:lineRule="auto"/>
        <w:jc w:val="both"/>
      </w:pPr>
    </w:p>
    <w:p w:rsidR="002F1C54" w:rsidRDefault="002F1C54" w:rsidP="002F1C54">
      <w:pPr>
        <w:spacing w:line="360" w:lineRule="auto"/>
        <w:jc w:val="both"/>
      </w:pPr>
      <w:r>
        <w:t xml:space="preserve">Tradizionalmente, almeno a livello italiano, sono due le metodologie utilizzate per stimare il livello di evasione fiscale. Il primo approccio, definito di natura “macroeconomica”, consiste nel calcolare lo scarto esistente tra la base imponibile “potenziale” stimata tramite i dati della contabilità nazionale forniti dall’ISTAT e i valori “effettivi” forniti dall’Agenzia delle entrate. Il secondo approccio, di natura “microeconomica”, si concentra nello studiare le differenze esistenti tra il dato fornito dalle Agenzie delle Entrate e quello deducibile dall’indagine campionaria sui bilanci delle famiglie svolta dalla Banca d’Italia. Questa è la metodologia adottata dalla Banca d’Italia per studiare il livello di evasione relativo al tributo dell’IRPEF. Quest’ultima metodologia si basa sull’ipotesi che i redditi dichiarati nell’ambito delle indagini campionarie siano più attendibili in quanto la partecipazione all’indagine è anonima e volontaria e non è orientata a finalità di controllo. Pur soffrendo delle problematicità tipiche derivanti dall’uso d’indagini campionarie (quali rappresentatività del campione e presenza di dati mancanti riconducibili a specifiche caratteristiche dei rispondenti), permette di articolare gli studi ad un livello di dettaglio molto elevato. Infatti, l’indagine sui bilanci delle famiglie permette di calcolare le varie fonti di reddito e l’ammontare complessivo del reddito a livello individuale disaggregato in funzione delle caratteristiche socio-demografiche (età, genere, area geografica) e del tipo di relazione d’impiego del rispondente. Data la presenza di potenziali distorsioni derivanti dalla presenza di mancate risposte (concentrate soprattutto nelle categorie lavorative definibili in generale come “autonome”), gli studi in questione hanno fatto ricorso a pesi per allineare la struttura del campione a quella reale della popolazione in funzione di alcune caratteristiche conosciute [Fiorio e d’Amuri 2005, Marino e Zizza 2008, Neri e Zizza 2008]. Studi conoscitivi [Neri e Zizza 2008] hanno mostrato come i risultati ottenuti grazie all’inserimento di queste correzioni siano coerenti con gli aggregati deducibili dai dati della contabilità nazionale forniti dall’ISTAT per quanto concerne il numero di percettori di reddito </w:t>
      </w:r>
      <w:r>
        <w:lastRenderedPageBreak/>
        <w:t xml:space="preserve">all’interno delle famiglie, la presenza di più lavori per soggetto e l’ammontare del reddito. La coerenza tra le diverse metodologie utilizzate trova riscontro anche nei risultati ottenuti molto simili nel sottolineare la presenza di tassi di evasione elevati tra gli imprenditori e i liberi professionisti. Va, però, sottolineato come lo studio relativo all’evasione dell’IRPEF sia secondario all’interno della nostra ricerca in quanto non permette di stimare l’entità totale dell’evasione, ma solamente quella relativa a questo tributo. Inoltre, i dati più aggiornati per quanto concerne questo tributo risalgono al 2004 [Marino e Zizza 2008, Giovannini et al. 2011] e nel nostro studio faremo uso delle stime aggiornate al 2009 relative alle analisi prodotte dall’Agenzia delle entrate con riferimento all’imposta dell’IVA e dell’IRAP. </w:t>
      </w:r>
    </w:p>
    <w:p w:rsidR="002F1C54" w:rsidRDefault="002F1C54" w:rsidP="002F1C54">
      <w:pPr>
        <w:spacing w:line="360" w:lineRule="auto"/>
        <w:jc w:val="both"/>
      </w:pPr>
      <w:r>
        <w:t>Presentiamo, in ogni caso, i dati relativi agli studi condotti sul tema per mostrare quali fattori mostrino un grado di associazione significativo con la tendenza ad evadere. Le poche ricerche presenti risultano concordare nella definizione del profilo del potenziale contribuente a rischio [Fiorio e D’Amuri 2005, Marino e Zizza 2008, Giovannini et al. 2011]. In generale, durante gli anni ’90, la letteratura sul tema ha mostrato come la base imponibile evasa stimata risulti essere molto contenuta nel caso dei lavoratori dipendenti (tra il 4% e l’8%), pari al 30% circa nel caso dei liberi professionisti e mostri invece un carattere endemico tra i lavoratori indipendenti, categoria all’interno della quale il dato stimato oscilla tra il 53% e il 63% [Bernardi e Bernasconi 1997]. Lo studio di Fiorio e D’Amuri (2005), con riferimento all’anno 2000, rileva come il tasso di evasione (diminuito rispetto agli anni ‘90) sia fortemente correlato con il reddito. Infatti, sia tra i lavoratori dipendenti sia tra gli indipendenti l’evasione dell’IRPEF decresce all’aumentare del reddito, a conferma, nel caso dei lavoratori autonomi della forte relazione tra piccola/piccolissima impresa e tendenza all’evasione. Nel caso dei lavoratori indipendenti il tasso di evasione passa dal 70,6% all’interno del decile più basso del reddito (53,9% nel secondo decile di reddito), fino all’7,8% in quello più elevato. Anche per quanto concerne i lavoratori dipendenti il risultato si dimostra essere molto interessante. Infatti, a fronte di un dato mediano praticamente nullo, lo studio indica come nei primi due decili di reddito (vale a dire il 20% della popolazione dipendente più povera) il tasso di evasione dell’IRPEF sia simile a quello dei lavoratori indipendenti (rispettivamente, del 62,8% nel primo decile e del 41,9% nel secondo).</w:t>
      </w:r>
    </w:p>
    <w:p w:rsidR="002F1C54" w:rsidRDefault="002F1C54" w:rsidP="002F1C54">
      <w:pPr>
        <w:spacing w:line="360" w:lineRule="auto"/>
        <w:jc w:val="both"/>
      </w:pPr>
      <w:r>
        <w:t xml:space="preserve">I dati più aggiornati al momento disponibili sono quelli prodotti dallo studio di Marino e Zizza (2008) per l’Agenzia delle Entrate con riferimento alle dichiarazioni dei redditi relativi al 2004. In questo studio, la stima dell’evasione dell’IRPEF è stata effettuata confrontando i redditi netti pro-capite deducibili dall’Indagine dei Bilanci delle Famiglie Italiane (corretti tramite l’uso di appositi pesi) e i dati fiscali per diverse categorie, dopo aver reso omogeneo il dato fornito dalla Banca d’Italia e quello delle dichiarazioni dei redditi. </w:t>
      </w:r>
    </w:p>
    <w:p w:rsidR="002F1C54" w:rsidRDefault="002F1C54" w:rsidP="002F1C54">
      <w:pPr>
        <w:spacing w:line="360" w:lineRule="auto"/>
        <w:jc w:val="both"/>
      </w:pPr>
      <w:r>
        <w:lastRenderedPageBreak/>
        <w:t>I risultati ottenuti risultano essere innovativi in quanto permettono una disaggregazione del risultato molto articolata. A livello generale, la ricerca stima un tasso di evasione dell’IRPEF pari al 13,5%, frutto di uno scarto medio pro-capite tra reddito stimato dall’indagine della Banca D’Italia e quello indicato nelle dichiarazioni dei redditi pari a 2.093 euro (15.449 euro il reddito netto pro-capite medio stimato dall’indagine, 13.356 euro quello definito dall’insieme delle dichiarazioni dei redditi). In realtà, il dato abbastanza contenuto sembra risentire del basso dato relativo al Sud Italia. Infatti, a fronte di tassi di evasione del 14,8% al Nord (circa 50,4 miliardi di euro evasi) e del 17,4% al Centro (pari a circa 24,2 miliardi), il dato relativo alle regioni Meridionali risulta pari al 7,9% (circa 11,9 miliardi) per un valore totale nazionale pari a circa 85,2 miliardi. Dalla letteratura in materia, il dato sottostimato per il Sud Italia sembra risentire della difficoltà a stimare il dato relativo agli evasori totali concentrati secondo gli studi soprattutto in quelle regioni. In ogni caso, per quanto concerne la nostra ricerca, il dato non presenta alcuna influenza dato che ci concentreremo sui dati del Nord sia a livello provinciale che locale.</w:t>
      </w:r>
    </w:p>
    <w:p w:rsidR="002F1C54" w:rsidRDefault="002F1C54" w:rsidP="002F1C54">
      <w:pPr>
        <w:spacing w:line="360" w:lineRule="auto"/>
        <w:jc w:val="both"/>
      </w:pPr>
      <w:r>
        <w:t>Il dato ottenuto conferma quanto rilevato dalle precedenti ricerche, sottolineando come l’evasione dell’IRPEF sia attribuibile solamente a precise categorie lavorative quali gli autonomi e imprenditori e quelli che vengono definiti come “rentiers”, vale a dire coloro che vivono grazie alle rendite derivanti da immobili in affitto. La tabella sottostante mostra chiaramente come a fronte di tassi di evasione nulli nel caso dei lavoratori dipendenti e dei pensionati</w:t>
      </w:r>
      <w:r>
        <w:rPr>
          <w:rStyle w:val="Rimandonotaapidipagina"/>
        </w:rPr>
        <w:footnoteReference w:id="4"/>
      </w:r>
      <w:r>
        <w:t>, il dato sale al 56,3% tra gli autonomi e imprenditori (52,2% al Nord per un valore pari a circa 31,3 miliardi di evasione) e all’83,7% nel caso di coloro che vivono di rendite immobiliari (82,7% al Nord per un valore pari a 10 miliardi). Dagli studi (dato qui non inserito in quanto disponibile solo a livello nazionale) risulta che il tasso di evasione dell’IRPEF cala nettamente al crescere dell’età. Infatti, se i contribuenti di età inferiore ai 44 anni risultano evadere circa 52,8 miliardi (pari al 62% dell’evaso totale), la popolazione ultra-64enne risulta invece evadere 3,5 miliardi (pari al 4,1% del dato totale). Questo aspetto risulta essere di particolare interesse date le recenti discussioni relative alla necessità di ricalibrare la spesa sociale in favore delle fasce più giovani della popolazione, sottraendo risorse a quelle più anziane. Il dato relativo all’evasione (anche se al momento con riferimento solamente al tributo dell’IRPEF) permette di calibrare meglio il giudizio sottolineando come siano soprattutto i più giovani a sottrarre risorse alla collettività. Risorse che potrebbero essere spese in loro favore.</w:t>
      </w: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tbl>
      <w:tblPr>
        <w:tblW w:w="10000" w:type="dxa"/>
        <w:tblInd w:w="55" w:type="dxa"/>
        <w:tblCellMar>
          <w:left w:w="70" w:type="dxa"/>
          <w:right w:w="70" w:type="dxa"/>
        </w:tblCellMar>
        <w:tblLook w:val="0000"/>
      </w:tblPr>
      <w:tblGrid>
        <w:gridCol w:w="2480"/>
        <w:gridCol w:w="1275"/>
        <w:gridCol w:w="1365"/>
        <w:gridCol w:w="1275"/>
        <w:gridCol w:w="1365"/>
        <w:gridCol w:w="1120"/>
        <w:gridCol w:w="1120"/>
      </w:tblGrid>
      <w:tr w:rsidR="002F1C54" w:rsidTr="00D73F13">
        <w:trPr>
          <w:trHeight w:val="270"/>
        </w:trPr>
        <w:tc>
          <w:tcPr>
            <w:tcW w:w="7760" w:type="dxa"/>
            <w:gridSpan w:val="5"/>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lastRenderedPageBreak/>
              <w:t>Tassi di evasione dell'IRPEF per alcune tipologie di contribuente e area geografica</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 </w:t>
            </w:r>
          </w:p>
        </w:tc>
      </w:tr>
      <w:tr w:rsidR="002F1C54" w:rsidTr="00D73F13">
        <w:trPr>
          <w:trHeight w:val="6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Indagine Bilanci Famiglie</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SOGEI</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r>
      <w:tr w:rsidR="002F1C54" w:rsidTr="00D73F13">
        <w:trPr>
          <w:trHeight w:val="6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Reddito netto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Reddito netto</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b/>
                <w:bCs/>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Tasso di</w:t>
            </w:r>
          </w:p>
        </w:tc>
      </w:tr>
      <w:tr w:rsidR="002F1C54" w:rsidTr="00D73F13">
        <w:trPr>
          <w:trHeight w:val="8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 </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pro-capite</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pro-capite</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Differenza</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evasione</w:t>
            </w:r>
          </w:p>
        </w:tc>
      </w:tr>
      <w:tr w:rsidR="002F1C54" w:rsidTr="00D73F13">
        <w:trPr>
          <w:trHeight w:val="60"/>
        </w:trPr>
        <w:tc>
          <w:tcPr>
            <w:tcW w:w="2480"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Area geografica</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19.763.271</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17.063</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20.033.653</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14.530</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2.532</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14,8</w:t>
            </w:r>
          </w:p>
        </w:tc>
      </w:tr>
      <w:tr w:rsidR="002F1C54" w:rsidTr="00D73F13">
        <w:trPr>
          <w:trHeight w:val="14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8.469.568</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16.850</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8.120.830</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13.914</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2.936</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17,4</w:t>
            </w:r>
          </w:p>
        </w:tc>
      </w:tr>
      <w:tr w:rsidR="002F1C54" w:rsidTr="00D73F13">
        <w:trPr>
          <w:trHeight w:val="8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12.801.763</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12.030</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12.337.613</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11.080</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950</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7,9</w:t>
            </w:r>
          </w:p>
        </w:tc>
      </w:tr>
      <w:tr w:rsidR="002F1C54" w:rsidTr="00D73F13">
        <w:trPr>
          <w:trHeight w:val="138"/>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Totale</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41.034.602</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15.449</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40.492.096</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13.356</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2.093</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13,5</w:t>
            </w:r>
          </w:p>
        </w:tc>
      </w:tr>
      <w:tr w:rsidR="002F1C54" w:rsidTr="00D73F13">
        <w:trPr>
          <w:trHeight w:val="120"/>
        </w:trPr>
        <w:tc>
          <w:tcPr>
            <w:tcW w:w="2480" w:type="dxa"/>
            <w:tcBorders>
              <w:top w:val="nil"/>
              <w:left w:val="nil"/>
              <w:bottom w:val="nil"/>
              <w:right w:val="single" w:sz="4" w:space="0" w:color="auto"/>
            </w:tcBorders>
            <w:shd w:val="clear" w:color="auto" w:fill="auto"/>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Tipologia contribuente*</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14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Dipendente</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16.513.566</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14.690</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17.675.343</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14.931</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-240</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-1,6</w:t>
            </w: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Pensionato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12.223.823</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10.940</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13.582.001</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11.023</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-83</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-0,8</w:t>
            </w: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4.645.534</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27.020</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4.318.697</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11.798</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15.222</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56,3</w:t>
            </w:r>
          </w:p>
        </w:tc>
      </w:tr>
      <w:tr w:rsidR="002F1C54" w:rsidTr="00D73F13">
        <w:trPr>
          <w:trHeight w:val="8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Rentiers**</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1.122.165</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21.286</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1.122.929</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3.462</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17.824</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83,7</w:t>
            </w:r>
          </w:p>
        </w:tc>
      </w:tr>
      <w:tr w:rsidR="002F1C54" w:rsidTr="00D73F13">
        <w:trPr>
          <w:trHeight w:val="6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2.263.306</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28.556</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2.078.205</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13.654</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14.902</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52,2</w:t>
            </w: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971.100</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29.672</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910.825</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11.692</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17.981</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60,6</w:t>
            </w:r>
          </w:p>
        </w:tc>
      </w:tr>
      <w:tr w:rsidR="002F1C54" w:rsidTr="00D73F13">
        <w:trPr>
          <w:trHeight w:val="88"/>
        </w:trPr>
        <w:tc>
          <w:tcPr>
            <w:tcW w:w="2480" w:type="dxa"/>
            <w:tcBorders>
              <w:top w:val="nil"/>
              <w:left w:val="nil"/>
              <w:bottom w:val="single" w:sz="4"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4"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1.411.128</w:t>
            </w:r>
          </w:p>
        </w:tc>
        <w:tc>
          <w:tcPr>
            <w:tcW w:w="1365" w:type="dxa"/>
            <w:tcBorders>
              <w:top w:val="nil"/>
              <w:left w:val="nil"/>
              <w:bottom w:val="single" w:sz="4"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22.730</w:t>
            </w:r>
          </w:p>
        </w:tc>
        <w:tc>
          <w:tcPr>
            <w:tcW w:w="1275" w:type="dxa"/>
            <w:tcBorders>
              <w:top w:val="nil"/>
              <w:left w:val="nil"/>
              <w:bottom w:val="single" w:sz="4"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1.329.667</w:t>
            </w:r>
          </w:p>
        </w:tc>
        <w:tc>
          <w:tcPr>
            <w:tcW w:w="1365" w:type="dxa"/>
            <w:tcBorders>
              <w:top w:val="nil"/>
              <w:left w:val="nil"/>
              <w:bottom w:val="single" w:sz="4"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8.971</w:t>
            </w:r>
          </w:p>
        </w:tc>
        <w:tc>
          <w:tcPr>
            <w:tcW w:w="1120" w:type="dxa"/>
            <w:tcBorders>
              <w:top w:val="nil"/>
              <w:left w:val="nil"/>
              <w:bottom w:val="single" w:sz="4"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13.760</w:t>
            </w:r>
          </w:p>
        </w:tc>
        <w:tc>
          <w:tcPr>
            <w:tcW w:w="1120" w:type="dxa"/>
            <w:tcBorders>
              <w:top w:val="nil"/>
              <w:left w:val="nil"/>
              <w:bottom w:val="single" w:sz="4"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60,5</w:t>
            </w:r>
          </w:p>
        </w:tc>
      </w:tr>
      <w:tr w:rsidR="002F1C54" w:rsidTr="00D73F13">
        <w:trPr>
          <w:trHeight w:val="255"/>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Rentiers**</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623.110</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23.345</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427.506</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4.048</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19.297</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82,7</w:t>
            </w:r>
          </w:p>
        </w:tc>
      </w:tr>
      <w:tr w:rsidR="002F1C54" w:rsidTr="00D73F13">
        <w:trPr>
          <w:trHeight w:val="80"/>
        </w:trPr>
        <w:tc>
          <w:tcPr>
            <w:tcW w:w="2480"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243.337</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21.751</w:t>
            </w:r>
          </w:p>
        </w:tc>
        <w:tc>
          <w:tcPr>
            <w:tcW w:w="1275"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241.916</w:t>
            </w:r>
          </w:p>
        </w:tc>
        <w:tc>
          <w:tcPr>
            <w:tcW w:w="1365" w:type="dxa"/>
            <w:tcBorders>
              <w:top w:val="nil"/>
              <w:left w:val="nil"/>
              <w:bottom w:val="nil"/>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4.056</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17.695</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81,4</w:t>
            </w:r>
          </w:p>
        </w:tc>
      </w:tr>
      <w:tr w:rsidR="002F1C54" w:rsidTr="00D73F13">
        <w:trPr>
          <w:trHeight w:val="80"/>
        </w:trPr>
        <w:tc>
          <w:tcPr>
            <w:tcW w:w="2480"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255.718</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15.826</w:t>
            </w:r>
          </w:p>
        </w:tc>
        <w:tc>
          <w:tcPr>
            <w:tcW w:w="1275"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453.507</w:t>
            </w:r>
          </w:p>
        </w:tc>
        <w:tc>
          <w:tcPr>
            <w:tcW w:w="1365" w:type="dxa"/>
            <w:tcBorders>
              <w:top w:val="nil"/>
              <w:left w:val="nil"/>
              <w:bottom w:val="single" w:sz="8" w:space="0" w:color="auto"/>
              <w:right w:val="single" w:sz="4" w:space="0" w:color="auto"/>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2.594</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13.233</w:t>
            </w:r>
          </w:p>
        </w:tc>
        <w:tc>
          <w:tcPr>
            <w:tcW w:w="1120" w:type="dxa"/>
            <w:tcBorders>
              <w:top w:val="nil"/>
              <w:left w:val="nil"/>
              <w:bottom w:val="single" w:sz="8" w:space="0" w:color="auto"/>
              <w:right w:val="nil"/>
            </w:tcBorders>
            <w:shd w:val="clear" w:color="auto" w:fill="auto"/>
            <w:noWrap/>
            <w:vAlign w:val="bottom"/>
          </w:tcPr>
          <w:p w:rsidR="002F1C54" w:rsidRDefault="002F1C54" w:rsidP="00D73F13">
            <w:pPr>
              <w:jc w:val="center"/>
              <w:rPr>
                <w:rFonts w:ascii="Garamond" w:hAnsi="Garamond" w:cs="Arial"/>
                <w:sz w:val="20"/>
                <w:szCs w:val="20"/>
              </w:rPr>
            </w:pPr>
            <w:r>
              <w:rPr>
                <w:rFonts w:ascii="Garamond" w:hAnsi="Garamond" w:cs="Arial"/>
                <w:sz w:val="20"/>
                <w:szCs w:val="20"/>
              </w:rPr>
              <w:t>83,6</w:t>
            </w:r>
          </w:p>
        </w:tc>
      </w:tr>
      <w:tr w:rsidR="002F1C54" w:rsidTr="00D73F13">
        <w:trPr>
          <w:trHeight w:val="255"/>
        </w:trPr>
        <w:tc>
          <w:tcPr>
            <w:tcW w:w="7760" w:type="dxa"/>
            <w:gridSpan w:val="5"/>
            <w:tcBorders>
              <w:top w:val="nil"/>
              <w:left w:val="nil"/>
              <w:bottom w:val="nil"/>
              <w:right w:val="nil"/>
            </w:tcBorders>
            <w:shd w:val="clear" w:color="auto" w:fill="auto"/>
            <w:noWrap/>
            <w:vAlign w:val="bottom"/>
          </w:tcPr>
          <w:p w:rsidR="002F1C54" w:rsidRDefault="002F1C54" w:rsidP="00D73F13">
            <w:pPr>
              <w:rPr>
                <w:rFonts w:ascii="Garamond" w:hAnsi="Garamond" w:cs="Arial"/>
                <w:b/>
                <w:bCs/>
                <w:sz w:val="18"/>
                <w:szCs w:val="18"/>
              </w:rPr>
            </w:pPr>
            <w:r>
              <w:rPr>
                <w:rFonts w:ascii="Garamond" w:hAnsi="Garamond" w:cs="Arial"/>
                <w:b/>
                <w:bCs/>
                <w:sz w:val="18"/>
                <w:szCs w:val="18"/>
              </w:rPr>
              <w:t>*sono state inserite solamente le categorie principali.</w:t>
            </w:r>
          </w:p>
          <w:p w:rsidR="002F1C54" w:rsidRDefault="002F1C54" w:rsidP="00D73F13">
            <w:pPr>
              <w:rPr>
                <w:rFonts w:ascii="Garamond" w:hAnsi="Garamond" w:cs="Arial"/>
                <w:b/>
                <w:bCs/>
                <w:sz w:val="18"/>
                <w:szCs w:val="18"/>
              </w:rPr>
            </w:pPr>
            <w:r>
              <w:rPr>
                <w:rFonts w:ascii="Garamond" w:hAnsi="Garamond" w:cs="Arial"/>
                <w:b/>
                <w:bCs/>
                <w:sz w:val="18"/>
                <w:szCs w:val="18"/>
              </w:rPr>
              <w:t>**rientrano tutti coloro che possiedono solo redditi da fabbricati non adibiti a prima casa</w:t>
            </w:r>
          </w:p>
          <w:p w:rsidR="002F1C54" w:rsidRDefault="002F1C54" w:rsidP="00D73F13">
            <w:pPr>
              <w:rPr>
                <w:rFonts w:ascii="Garamond" w:hAnsi="Garamond" w:cs="Arial"/>
                <w:b/>
                <w:bCs/>
                <w:sz w:val="18"/>
                <w:szCs w:val="18"/>
              </w:rPr>
            </w:pPr>
            <w:r>
              <w:rPr>
                <w:rFonts w:ascii="Garamond" w:hAnsi="Garamond" w:cs="Arial"/>
                <w:b/>
                <w:bCs/>
                <w:sz w:val="18"/>
                <w:szCs w:val="18"/>
              </w:rPr>
              <w:t>Fonte: Ufficio Studi dell’Agenzia delle Entrate, Marino e Zizza 2008.</w:t>
            </w: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2F1C54" w:rsidRDefault="002F1C54" w:rsidP="00D73F13">
            <w:pPr>
              <w:jc w:val="center"/>
              <w:rPr>
                <w:rFonts w:ascii="Garamond" w:hAnsi="Garamond" w:cs="Arial"/>
                <w:sz w:val="20"/>
                <w:szCs w:val="20"/>
              </w:rPr>
            </w:pP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 xml:space="preserve">Infatti, nel 2004, anno in cui è stata condotta l’ultima ricerca relativa all’IRPEF, il risultato dello studio stimava in 85 miliardi l’entità evasa, rispetto alla “forchetta” 245/285 miliardi prodotta dallo studio basato sull’IVA e al </w:t>
      </w:r>
      <w:r>
        <w:rPr>
          <w:i/>
        </w:rPr>
        <w:t>range</w:t>
      </w:r>
      <w:r>
        <w:t xml:space="preserve"> 224/241 miliardi fornito dall’ISTAT. </w:t>
      </w:r>
    </w:p>
    <w:p w:rsidR="002F1C54" w:rsidRDefault="002F1C54" w:rsidP="002F1C54">
      <w:pPr>
        <w:spacing w:line="360" w:lineRule="auto"/>
        <w:jc w:val="both"/>
      </w:pPr>
    </w:p>
    <w:p w:rsidR="002F1C54" w:rsidRPr="00CB384D" w:rsidRDefault="002F1C54" w:rsidP="002F1C54">
      <w:pPr>
        <w:spacing w:line="360" w:lineRule="auto"/>
        <w:jc w:val="both"/>
      </w:pPr>
      <w:r>
        <w:t xml:space="preserve">All’interno del nostro studio, invece, faremo riferimento alle stime fornite dalla Corte dei Conti (2012) su dati forniti dall’Agenzia delle Entrate con riferimento al gettito evaso in media tra il 2007 e il 2009, sia per l’IRAP, sia per l’IVA. Con gettito evaso si intende la parte della base imponibile non dichiarata che sarebbe dovuta finire nelle casse dello Stato, se tutte le operazioni fossero state fatte legalmente. Il gettito evaso, in realtà é stimato indirettamente partendo dalla base imponibile evasa alla quale viene applicata l’aliquota implicita delle transazioni emerse e in base a questa viene calcolato quanto effettivamente sarebbe dovuto finire nelle casse dello Stato. Inoltre, se nel caso dell’IVA conosciamo anche il dato generale relativo alla base imponibile non dichiarata, nel caso dell’IRAP possiamo fare uso solamente dei valori relativi al gettito effettivamente non recuperato. In realtà, ai fini della nostra ricerca che si pone l’obiettivo di stimare il potenziale bacino di risorse dal quale i comuni potrebbero attingere per finanziare politiche sociali, é certamente il dato relativo al gettito evaso quello che maggiormente interessa, piuttosto che quello relativo alla base imponibile evasa. Come mostra la tabella sottostante, esistono profonde differenze per quanto concerne il livello di </w:t>
      </w:r>
      <w:r>
        <w:rPr>
          <w:i/>
        </w:rPr>
        <w:t xml:space="preserve">compliance </w:t>
      </w:r>
      <w:r>
        <w:t xml:space="preserve">relativo all’IVA e all’IRAP. Infatti, focalizzandosi per il momento </w:t>
      </w:r>
      <w:r>
        <w:lastRenderedPageBreak/>
        <w:t>sull’ultima colonna di entrambe le tabelle, é possibile osservare coma la propensione all’evasione (vale a dire la quota di base imponibile evasa sul totale) sia nettamente superiore nel caso dell’IVA rispetto all’IRAP. Ad esempio, per quanto concerne l’area del Nord-Ovest se il dato relativo all’IVA indica che il 25,7% della base imponibile totale viene evaso, nel caso dell’IRAP il dato cala al 12,7%. In realtà, come sottolineato in Vitaletti (2012), questo dato risulta dipendere dalle differenze insite nella base di riferimento delle due imposte. L’IRAP, infatti, oltre alla base dell’IVA (i consumi), ricomprende anche gli investimenti e le esportazioni che si caratterizzano per un basso livello di evasione, nel primo caso in quanto possono essere fatte rientrare tra i costi negli ammortamenti, nel secondo in quanto interessano soprattutto imprese complesse.</w:t>
      </w:r>
    </w:p>
    <w:p w:rsidR="002F1C54" w:rsidRDefault="002F1C54" w:rsidP="002F1C54">
      <w:pPr>
        <w:spacing w:line="360" w:lineRule="auto"/>
        <w:jc w:val="both"/>
      </w:pPr>
    </w:p>
    <w:tbl>
      <w:tblPr>
        <w:tblW w:w="7750" w:type="dxa"/>
        <w:jc w:val="center"/>
        <w:tblLook w:val="04A0"/>
      </w:tblPr>
      <w:tblGrid>
        <w:gridCol w:w="1759"/>
        <w:gridCol w:w="1996"/>
        <w:gridCol w:w="767"/>
        <w:gridCol w:w="673"/>
        <w:gridCol w:w="65"/>
        <w:gridCol w:w="1440"/>
        <w:gridCol w:w="1050"/>
      </w:tblGrid>
      <w:tr w:rsidR="002F1C54" w:rsidRPr="00EA304B" w:rsidTr="00D73F13">
        <w:trPr>
          <w:gridAfter w:val="1"/>
          <w:wAfter w:w="1050" w:type="dxa"/>
          <w:trHeight w:val="270"/>
          <w:jc w:val="center"/>
        </w:trPr>
        <w:tc>
          <w:tcPr>
            <w:tcW w:w="5260" w:type="dxa"/>
            <w:gridSpan w:val="5"/>
            <w:tcBorders>
              <w:top w:val="nil"/>
              <w:left w:val="nil"/>
              <w:bottom w:val="single" w:sz="8" w:space="0" w:color="auto"/>
              <w:right w:val="nil"/>
            </w:tcBorders>
            <w:shd w:val="clear" w:color="auto" w:fill="auto"/>
            <w:noWrap/>
            <w:vAlign w:val="bottom"/>
            <w:hideMark/>
          </w:tcPr>
          <w:p w:rsidR="002F1C54" w:rsidRPr="00EA304B" w:rsidRDefault="002F1C54" w:rsidP="00D73F13">
            <w:pPr>
              <w:rPr>
                <w:rFonts w:ascii="Garamond" w:hAnsi="Garamond" w:cs="Calibri"/>
                <w:b/>
                <w:bCs/>
                <w:color w:val="000000"/>
                <w:sz w:val="20"/>
                <w:szCs w:val="20"/>
                <w:lang w:val="en-US" w:eastAsia="en-US"/>
              </w:rPr>
            </w:pPr>
            <w:r w:rsidRPr="00BE4A37">
              <w:rPr>
                <w:rFonts w:ascii="Garamond" w:hAnsi="Garamond" w:cs="Calibri"/>
                <w:b/>
                <w:bCs/>
                <w:color w:val="000000"/>
                <w:sz w:val="20"/>
                <w:szCs w:val="20"/>
                <w:lang w:eastAsia="en-US"/>
              </w:rPr>
              <w:t xml:space="preserve">Il gettito IVA evaso. Media 2007-2009. </w:t>
            </w:r>
            <w:r w:rsidRPr="00EA304B">
              <w:rPr>
                <w:rFonts w:ascii="Garamond" w:hAnsi="Garamond" w:cs="Calibri"/>
                <w:b/>
                <w:bCs/>
                <w:color w:val="000000"/>
                <w:sz w:val="20"/>
                <w:szCs w:val="20"/>
                <w:lang w:val="en-US" w:eastAsia="en-US"/>
              </w:rPr>
              <w:t>Mln di euro</w:t>
            </w:r>
          </w:p>
        </w:tc>
        <w:tc>
          <w:tcPr>
            <w:tcW w:w="1440" w:type="dxa"/>
            <w:tcBorders>
              <w:top w:val="nil"/>
              <w:left w:val="nil"/>
              <w:bottom w:val="single" w:sz="8" w:space="0" w:color="auto"/>
              <w:right w:val="nil"/>
            </w:tcBorders>
          </w:tcPr>
          <w:p w:rsidR="002F1C54" w:rsidRPr="00EA304B" w:rsidRDefault="002F1C54" w:rsidP="00D73F13">
            <w:pPr>
              <w:rPr>
                <w:rFonts w:ascii="Garamond" w:hAnsi="Garamond" w:cs="Calibri"/>
                <w:b/>
                <w:bCs/>
                <w:color w:val="000000"/>
                <w:sz w:val="20"/>
                <w:szCs w:val="20"/>
                <w:lang w:val="es-EC" w:eastAsia="en-US"/>
              </w:rPr>
            </w:pPr>
          </w:p>
        </w:tc>
      </w:tr>
      <w:tr w:rsidR="002F1C54" w:rsidRPr="00EA304B" w:rsidTr="00D73F13">
        <w:trPr>
          <w:trHeight w:val="270"/>
          <w:jc w:val="center"/>
        </w:trPr>
        <w:tc>
          <w:tcPr>
            <w:tcW w:w="1759" w:type="dxa"/>
            <w:tcBorders>
              <w:top w:val="nil"/>
              <w:left w:val="nil"/>
              <w:bottom w:val="single" w:sz="8" w:space="0" w:color="auto"/>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 </w:t>
            </w:r>
          </w:p>
        </w:tc>
        <w:tc>
          <w:tcPr>
            <w:tcW w:w="1996" w:type="dxa"/>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Gettito evaso</w:t>
            </w:r>
          </w:p>
        </w:tc>
        <w:tc>
          <w:tcPr>
            <w:tcW w:w="1440" w:type="dxa"/>
            <w:gridSpan w:val="2"/>
            <w:tcBorders>
              <w:top w:val="single" w:sz="4" w:space="0" w:color="auto"/>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w:t>
            </w:r>
          </w:p>
        </w:tc>
        <w:tc>
          <w:tcPr>
            <w:tcW w:w="2555" w:type="dxa"/>
            <w:gridSpan w:val="3"/>
            <w:tcBorders>
              <w:top w:val="single" w:sz="4" w:space="0" w:color="auto"/>
              <w:left w:val="nil"/>
              <w:bottom w:val="single" w:sz="8" w:space="0" w:color="auto"/>
              <w:right w:val="nil"/>
            </w:tcBorders>
            <w:vAlign w:val="center"/>
          </w:tcPr>
          <w:p w:rsidR="002F1C54" w:rsidRPr="00EA304B" w:rsidRDefault="002F1C54" w:rsidP="00D73F13">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Propensione all’evasione</w:t>
            </w:r>
          </w:p>
        </w:tc>
      </w:tr>
      <w:tr w:rsidR="002F1C54" w:rsidRPr="00EA304B" w:rsidTr="00D73F13">
        <w:trPr>
          <w:trHeight w:val="255"/>
          <w:jc w:val="center"/>
        </w:trPr>
        <w:tc>
          <w:tcPr>
            <w:tcW w:w="1759" w:type="dxa"/>
            <w:tcBorders>
              <w:top w:val="nil"/>
              <w:left w:val="nil"/>
              <w:bottom w:val="nil"/>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Nord-Ovest</w:t>
            </w:r>
          </w:p>
        </w:tc>
        <w:tc>
          <w:tcPr>
            <w:tcW w:w="1996" w:type="dxa"/>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944</w:t>
            </w:r>
          </w:p>
        </w:tc>
        <w:tc>
          <w:tcPr>
            <w:tcW w:w="1440" w:type="dxa"/>
            <w:gridSpan w:val="2"/>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26.0</w:t>
            </w:r>
          </w:p>
        </w:tc>
        <w:tc>
          <w:tcPr>
            <w:tcW w:w="2555" w:type="dxa"/>
            <w:gridSpan w:val="3"/>
            <w:tcBorders>
              <w:top w:val="nil"/>
              <w:left w:val="nil"/>
              <w:bottom w:val="nil"/>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25.7</w:t>
            </w:r>
          </w:p>
        </w:tc>
      </w:tr>
      <w:tr w:rsidR="002F1C54" w:rsidRPr="00EA304B" w:rsidTr="00D73F13">
        <w:trPr>
          <w:trHeight w:val="255"/>
          <w:jc w:val="center"/>
        </w:trPr>
        <w:tc>
          <w:tcPr>
            <w:tcW w:w="1759" w:type="dxa"/>
            <w:tcBorders>
              <w:top w:val="nil"/>
              <w:left w:val="nil"/>
              <w:bottom w:val="nil"/>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Nord-Est</w:t>
            </w:r>
          </w:p>
        </w:tc>
        <w:tc>
          <w:tcPr>
            <w:tcW w:w="1996" w:type="dxa"/>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6</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738</w:t>
            </w:r>
          </w:p>
        </w:tc>
        <w:tc>
          <w:tcPr>
            <w:tcW w:w="1440" w:type="dxa"/>
            <w:gridSpan w:val="2"/>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17.6</w:t>
            </w:r>
          </w:p>
        </w:tc>
        <w:tc>
          <w:tcPr>
            <w:tcW w:w="2555" w:type="dxa"/>
            <w:gridSpan w:val="3"/>
            <w:tcBorders>
              <w:top w:val="nil"/>
              <w:left w:val="nil"/>
              <w:bottom w:val="nil"/>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24.5</w:t>
            </w:r>
          </w:p>
        </w:tc>
      </w:tr>
      <w:tr w:rsidR="002F1C54" w:rsidRPr="00EA304B" w:rsidTr="00D73F13">
        <w:trPr>
          <w:trHeight w:val="255"/>
          <w:jc w:val="center"/>
        </w:trPr>
        <w:tc>
          <w:tcPr>
            <w:tcW w:w="1759" w:type="dxa"/>
            <w:tcBorders>
              <w:top w:val="nil"/>
              <w:left w:val="nil"/>
              <w:bottom w:val="nil"/>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Centro</w:t>
            </w:r>
          </w:p>
        </w:tc>
        <w:tc>
          <w:tcPr>
            <w:tcW w:w="1996" w:type="dxa"/>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6</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910</w:t>
            </w:r>
          </w:p>
        </w:tc>
        <w:tc>
          <w:tcPr>
            <w:tcW w:w="1440" w:type="dxa"/>
            <w:gridSpan w:val="2"/>
            <w:tcBorders>
              <w:top w:val="nil"/>
              <w:left w:val="nil"/>
              <w:bottom w:val="nil"/>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18.0</w:t>
            </w:r>
          </w:p>
        </w:tc>
        <w:tc>
          <w:tcPr>
            <w:tcW w:w="2555" w:type="dxa"/>
            <w:gridSpan w:val="3"/>
            <w:tcBorders>
              <w:top w:val="nil"/>
              <w:left w:val="nil"/>
              <w:bottom w:val="nil"/>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24.6</w:t>
            </w:r>
          </w:p>
        </w:tc>
      </w:tr>
      <w:tr w:rsidR="002F1C54" w:rsidRPr="00EA304B" w:rsidTr="00D73F13">
        <w:trPr>
          <w:trHeight w:val="270"/>
          <w:jc w:val="center"/>
        </w:trPr>
        <w:tc>
          <w:tcPr>
            <w:tcW w:w="1759" w:type="dxa"/>
            <w:tcBorders>
              <w:top w:val="nil"/>
              <w:left w:val="nil"/>
              <w:bottom w:val="single" w:sz="8" w:space="0" w:color="auto"/>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Sud e Isole</w:t>
            </w:r>
          </w:p>
        </w:tc>
        <w:tc>
          <w:tcPr>
            <w:tcW w:w="1996" w:type="dxa"/>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14</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677</w:t>
            </w:r>
          </w:p>
        </w:tc>
        <w:tc>
          <w:tcPr>
            <w:tcW w:w="1440" w:type="dxa"/>
            <w:gridSpan w:val="2"/>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38.4</w:t>
            </w:r>
          </w:p>
        </w:tc>
        <w:tc>
          <w:tcPr>
            <w:tcW w:w="2555" w:type="dxa"/>
            <w:gridSpan w:val="3"/>
            <w:tcBorders>
              <w:top w:val="nil"/>
              <w:left w:val="nil"/>
              <w:bottom w:val="single" w:sz="8" w:space="0" w:color="auto"/>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40.1</w:t>
            </w:r>
          </w:p>
        </w:tc>
      </w:tr>
      <w:tr w:rsidR="002F1C54" w:rsidRPr="00EA304B" w:rsidTr="00D73F13">
        <w:trPr>
          <w:trHeight w:val="270"/>
          <w:jc w:val="center"/>
        </w:trPr>
        <w:tc>
          <w:tcPr>
            <w:tcW w:w="1759" w:type="dxa"/>
            <w:tcBorders>
              <w:top w:val="nil"/>
              <w:left w:val="nil"/>
              <w:bottom w:val="single" w:sz="8" w:space="0" w:color="auto"/>
              <w:right w:val="nil"/>
            </w:tcBorders>
            <w:shd w:val="clear" w:color="auto" w:fill="auto"/>
            <w:noWrap/>
            <w:vAlign w:val="center"/>
            <w:hideMark/>
          </w:tcPr>
          <w:p w:rsidR="002F1C54" w:rsidRPr="00EA304B" w:rsidRDefault="002F1C54" w:rsidP="00D73F13">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Italia</w:t>
            </w:r>
          </w:p>
        </w:tc>
        <w:tc>
          <w:tcPr>
            <w:tcW w:w="1996" w:type="dxa"/>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38</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269</w:t>
            </w:r>
          </w:p>
        </w:tc>
        <w:tc>
          <w:tcPr>
            <w:tcW w:w="1440" w:type="dxa"/>
            <w:gridSpan w:val="2"/>
            <w:tcBorders>
              <w:top w:val="nil"/>
              <w:left w:val="nil"/>
              <w:bottom w:val="single" w:sz="8" w:space="0" w:color="auto"/>
              <w:right w:val="nil"/>
            </w:tcBorders>
            <w:shd w:val="clear" w:color="auto" w:fill="auto"/>
            <w:noWrap/>
            <w:vAlign w:val="center"/>
            <w:hideMark/>
          </w:tcPr>
          <w:p w:rsidR="002F1C54" w:rsidRPr="00EA304B" w:rsidRDefault="002F1C54" w:rsidP="00D73F13">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100</w:t>
            </w:r>
          </w:p>
        </w:tc>
        <w:tc>
          <w:tcPr>
            <w:tcW w:w="2555" w:type="dxa"/>
            <w:gridSpan w:val="3"/>
            <w:tcBorders>
              <w:top w:val="nil"/>
              <w:left w:val="nil"/>
              <w:bottom w:val="single" w:sz="8" w:space="0" w:color="auto"/>
              <w:right w:val="nil"/>
            </w:tcBorders>
            <w:vAlign w:val="center"/>
          </w:tcPr>
          <w:p w:rsidR="002F1C54" w:rsidRPr="00EA304B" w:rsidRDefault="002F1C54" w:rsidP="00D73F13">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29.3</w:t>
            </w:r>
          </w:p>
        </w:tc>
      </w:tr>
      <w:tr w:rsidR="002F1C54" w:rsidRPr="00EA304B" w:rsidTr="00D73F13">
        <w:trPr>
          <w:gridAfter w:val="1"/>
          <w:wAfter w:w="1050" w:type="dxa"/>
          <w:trHeight w:val="255"/>
          <w:jc w:val="center"/>
        </w:trPr>
        <w:tc>
          <w:tcPr>
            <w:tcW w:w="4522" w:type="dxa"/>
            <w:gridSpan w:val="3"/>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Corte dei Conti 2012</w:t>
            </w:r>
          </w:p>
        </w:tc>
        <w:tc>
          <w:tcPr>
            <w:tcW w:w="738"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1440" w:type="dxa"/>
            <w:tcBorders>
              <w:top w:val="nil"/>
              <w:left w:val="nil"/>
              <w:bottom w:val="nil"/>
              <w:right w:val="nil"/>
            </w:tcBorders>
          </w:tcPr>
          <w:p w:rsidR="002F1C54" w:rsidRPr="00BE4A37" w:rsidRDefault="002F1C54" w:rsidP="00D73F13">
            <w:pPr>
              <w:jc w:val="center"/>
              <w:rPr>
                <w:rFonts w:ascii="Garamond" w:hAnsi="Garamond" w:cs="Calibri"/>
                <w:color w:val="000000"/>
                <w:sz w:val="20"/>
                <w:szCs w:val="20"/>
                <w:lang w:eastAsia="en-US"/>
              </w:rPr>
            </w:pPr>
          </w:p>
        </w:tc>
      </w:tr>
    </w:tbl>
    <w:p w:rsidR="002F1C54" w:rsidRPr="00BE4A37" w:rsidRDefault="002F1C54" w:rsidP="002F1C54">
      <w:pPr>
        <w:spacing w:line="360" w:lineRule="auto"/>
        <w:jc w:val="both"/>
      </w:pPr>
    </w:p>
    <w:p w:rsidR="002F1C54" w:rsidRPr="00BE4A37" w:rsidRDefault="002F1C54" w:rsidP="002F1C54">
      <w:pPr>
        <w:spacing w:line="360" w:lineRule="auto"/>
        <w:jc w:val="both"/>
      </w:pPr>
    </w:p>
    <w:p w:rsidR="002F1C54" w:rsidRDefault="002F1C54" w:rsidP="002F1C54">
      <w:pPr>
        <w:spacing w:line="360" w:lineRule="auto"/>
        <w:jc w:val="both"/>
      </w:pPr>
      <w:r>
        <w:t>Focalizzandosi invece sul gettito evaso (aspetto centrale nel nostro studio), é possibile osservare come il gettito IVA evaso nel Nord-Ovest sia pari a quasi 10 miliardi di euro, pari al 26% del gettito totale evaso, aspetto che pone quest’area al secondo posto in Italia per livelli di evasione dopo il Sud Italia (38,4%). Ovviamente, ricordando la distinzione proposta nella sezione precedente, stiamo parlando di entità evasa, quantità che non tiene sotto controllo la ricchezza prodotta nel territorio. Il dato precedentemente definito come intensità invece può essere osservato nella colonna precedentemente analizzata (propensione all’evasione) la quale rapporta il dato evaso alla ricchezza prodotta. In questo caso é possibile osservare come tutte le aree del Centro-Nord mostrino valori molto simili. Facendo riferimento al dato precedentemente osservato é possibile stabilire anche la base imponibile media (tra l’ipotesi senza consenso e quella con consenso) per il Nord-Ovest per il 2009. Sapendo che nel 2009 la base imponibile non dichiarata media in Italia é stata pari a circa 232 miliardi di euro, e sapendo che il Nord-Ovest produce il 26% del gettito evaso, possiamo stimare in circa 60 miliardi la base imponibile evasa in questo territorio.</w:t>
      </w:r>
    </w:p>
    <w:p w:rsidR="002F1C54" w:rsidRDefault="002F1C54" w:rsidP="002F1C54">
      <w:pPr>
        <w:spacing w:line="360" w:lineRule="auto"/>
        <w:jc w:val="both"/>
      </w:pPr>
      <w:r>
        <w:t xml:space="preserve">Nel caso dell’IRAP invece é il Nord-Ovest a mostrare la propensione all’evasione più contenuta (12,7% della base imponibile potenziale). É possibile ipotizzare che il fenomeno dipenda dalla maggiore presenza di grandi imprese in questa zona. L’entità evasa risulta essere pari a 1,8 miliardi di euro (21,7%) della gettito evaso totale (pari a 8,3 miliardi). Passando invece ad analizzare il dato </w:t>
      </w:r>
      <w:r>
        <w:lastRenderedPageBreak/>
        <w:t>a livello di settore economico, trova conferma la maggiore tendenza ad evadere all’interno del settore agricolo (37,8% della ricchezza prodotta), nel settore del commercio (24,8%) e nel credito e attività immobiliari (32,7%). Da sottolineare la scelta non proprio felice di accorpare i vari settori economici. In modo particolare, sarebbe stato meglio disaggregare il settore del credito a bassa propensione di evasione (almeno dai risultati di altre indagini qui presentate) e, soprattutto il dato della pubblica amministrazione che per sua natura non può evadere.</w:t>
      </w:r>
    </w:p>
    <w:p w:rsidR="002F1C54" w:rsidRDefault="002F1C54" w:rsidP="002F1C54">
      <w:pPr>
        <w:spacing w:line="360" w:lineRule="auto"/>
        <w:jc w:val="both"/>
      </w:pPr>
    </w:p>
    <w:tbl>
      <w:tblPr>
        <w:tblW w:w="7991" w:type="dxa"/>
        <w:jc w:val="center"/>
        <w:tblInd w:w="93" w:type="dxa"/>
        <w:tblLook w:val="04A0"/>
      </w:tblPr>
      <w:tblGrid>
        <w:gridCol w:w="2175"/>
        <w:gridCol w:w="1800"/>
        <w:gridCol w:w="369"/>
        <w:gridCol w:w="541"/>
        <w:gridCol w:w="406"/>
        <w:gridCol w:w="1774"/>
        <w:gridCol w:w="926"/>
      </w:tblGrid>
      <w:tr w:rsidR="002F1C54" w:rsidRPr="00CB384D" w:rsidTr="00D73F13">
        <w:trPr>
          <w:gridAfter w:val="1"/>
          <w:wAfter w:w="926" w:type="dxa"/>
          <w:trHeight w:val="270"/>
          <w:jc w:val="center"/>
        </w:trPr>
        <w:tc>
          <w:tcPr>
            <w:tcW w:w="4885" w:type="dxa"/>
            <w:gridSpan w:val="4"/>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s-EC" w:eastAsia="en-US"/>
              </w:rPr>
            </w:pPr>
            <w:r w:rsidRPr="00BE4A37">
              <w:rPr>
                <w:rFonts w:ascii="Garamond" w:hAnsi="Garamond" w:cs="Calibri"/>
                <w:b/>
                <w:bCs/>
                <w:color w:val="000000"/>
                <w:sz w:val="20"/>
                <w:szCs w:val="20"/>
                <w:lang w:eastAsia="en-US"/>
              </w:rPr>
              <w:t xml:space="preserve">Il gettito IRAP evaso. Media 2007-2009. </w:t>
            </w:r>
            <w:r w:rsidRPr="00CB384D">
              <w:rPr>
                <w:rFonts w:ascii="Garamond" w:hAnsi="Garamond" w:cs="Calibri"/>
                <w:b/>
                <w:bCs/>
                <w:color w:val="000000"/>
                <w:sz w:val="20"/>
                <w:szCs w:val="20"/>
                <w:lang w:val="es-EC" w:eastAsia="en-US"/>
              </w:rPr>
              <w:t>Mln di euro</w:t>
            </w:r>
          </w:p>
        </w:tc>
        <w:tc>
          <w:tcPr>
            <w:tcW w:w="218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s-EC" w:eastAsia="en-US"/>
              </w:rPr>
            </w:pPr>
            <w:r w:rsidRPr="00CB384D">
              <w:rPr>
                <w:rFonts w:ascii="Garamond" w:hAnsi="Garamond" w:cs="Calibri"/>
                <w:color w:val="000000"/>
                <w:sz w:val="20"/>
                <w:szCs w:val="20"/>
                <w:lang w:val="es-EC" w:eastAsia="en-US"/>
              </w:rPr>
              <w:t> </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 </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Gettito evaso</w:t>
            </w:r>
          </w:p>
        </w:tc>
        <w:tc>
          <w:tcPr>
            <w:tcW w:w="1316" w:type="dxa"/>
            <w:gridSpan w:val="3"/>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w:t>
            </w:r>
          </w:p>
        </w:tc>
        <w:tc>
          <w:tcPr>
            <w:tcW w:w="2700" w:type="dxa"/>
            <w:gridSpan w:val="2"/>
            <w:tcBorders>
              <w:top w:val="single" w:sz="4" w:space="0" w:color="auto"/>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s-EC" w:eastAsia="en-US"/>
              </w:rPr>
              <w:t>Propensione all'evasio</w:t>
            </w:r>
            <w:r w:rsidRPr="00CB384D">
              <w:rPr>
                <w:rFonts w:ascii="Garamond" w:hAnsi="Garamond" w:cs="Calibri"/>
                <w:b/>
                <w:bCs/>
                <w:color w:val="000000"/>
                <w:sz w:val="20"/>
                <w:szCs w:val="20"/>
                <w:lang w:val="en-US" w:eastAsia="en-US"/>
              </w:rPr>
              <w:t>ne</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Nord-Ovest</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811</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21.7</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12.7</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Nord-Est</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740</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20.8</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17.5</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Centro</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973</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23.7</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21.4</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Sud e Isole</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818</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33.8</w:t>
            </w:r>
          </w:p>
        </w:tc>
        <w:tc>
          <w:tcPr>
            <w:tcW w:w="270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29.4</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Italia</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19.4</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Agricoltura</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358</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4.3</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37.8</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Industria</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883</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10.6</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7.8</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Costruzioni</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572</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6.9</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17.9</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Commercio</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820</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33.8</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24.8</w:t>
            </w:r>
          </w:p>
        </w:tc>
      </w:tr>
      <w:tr w:rsidR="002F1C54" w:rsidRPr="00CB384D" w:rsidTr="00D73F13">
        <w:trPr>
          <w:trHeight w:val="255"/>
          <w:jc w:val="center"/>
        </w:trPr>
        <w:tc>
          <w:tcPr>
            <w:tcW w:w="2175" w:type="dxa"/>
            <w:tcBorders>
              <w:top w:val="nil"/>
              <w:left w:val="nil"/>
              <w:bottom w:val="nil"/>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Credito/Att.immobil.</w:t>
            </w:r>
          </w:p>
        </w:tc>
        <w:tc>
          <w:tcPr>
            <w:tcW w:w="1800" w:type="dxa"/>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867</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34.4</w:t>
            </w:r>
          </w:p>
        </w:tc>
        <w:tc>
          <w:tcPr>
            <w:tcW w:w="2700" w:type="dxa"/>
            <w:gridSpan w:val="2"/>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32.7</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P.A. e altri servizi</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842</w:t>
            </w:r>
          </w:p>
        </w:tc>
        <w:tc>
          <w:tcPr>
            <w:tcW w:w="1316" w:type="dxa"/>
            <w:gridSpan w:val="3"/>
            <w:tcBorders>
              <w:top w:val="nil"/>
              <w:left w:val="nil"/>
              <w:bottom w:val="nil"/>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10.1</w:t>
            </w:r>
          </w:p>
        </w:tc>
        <w:tc>
          <w:tcPr>
            <w:tcW w:w="270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11.3</w:t>
            </w:r>
          </w:p>
        </w:tc>
      </w:tr>
      <w:tr w:rsidR="002F1C54" w:rsidRPr="00CB384D" w:rsidTr="00D73F13">
        <w:trPr>
          <w:trHeight w:val="270"/>
          <w:jc w:val="center"/>
        </w:trPr>
        <w:tc>
          <w:tcPr>
            <w:tcW w:w="2175" w:type="dxa"/>
            <w:tcBorders>
              <w:top w:val="nil"/>
              <w:left w:val="nil"/>
              <w:bottom w:val="single" w:sz="8" w:space="0" w:color="auto"/>
              <w:right w:val="nil"/>
            </w:tcBorders>
            <w:shd w:val="clear" w:color="auto" w:fill="auto"/>
            <w:noWrap/>
            <w:vAlign w:val="bottom"/>
            <w:hideMark/>
          </w:tcPr>
          <w:p w:rsidR="002F1C54" w:rsidRPr="00CB384D" w:rsidRDefault="002F1C54" w:rsidP="00D73F13">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Totale</w:t>
            </w:r>
          </w:p>
        </w:tc>
        <w:tc>
          <w:tcPr>
            <w:tcW w:w="1800" w:type="dxa"/>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2F1C54" w:rsidRPr="00CB384D" w:rsidRDefault="002F1C54" w:rsidP="00D73F13">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19.4</w:t>
            </w:r>
          </w:p>
        </w:tc>
      </w:tr>
      <w:tr w:rsidR="002F1C54" w:rsidRPr="00CB384D" w:rsidTr="00D73F13">
        <w:trPr>
          <w:gridAfter w:val="1"/>
          <w:wAfter w:w="926" w:type="dxa"/>
          <w:trHeight w:val="255"/>
          <w:jc w:val="center"/>
        </w:trPr>
        <w:tc>
          <w:tcPr>
            <w:tcW w:w="4344" w:type="dxa"/>
            <w:gridSpan w:val="3"/>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Corte dei Conti 2012</w:t>
            </w:r>
          </w:p>
        </w:tc>
        <w:tc>
          <w:tcPr>
            <w:tcW w:w="541" w:type="dxa"/>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c>
          <w:tcPr>
            <w:tcW w:w="2180" w:type="dxa"/>
            <w:gridSpan w:val="2"/>
            <w:tcBorders>
              <w:top w:val="nil"/>
              <w:left w:val="nil"/>
              <w:bottom w:val="nil"/>
              <w:right w:val="nil"/>
            </w:tcBorders>
            <w:shd w:val="clear" w:color="auto" w:fill="auto"/>
            <w:noWrap/>
            <w:vAlign w:val="bottom"/>
            <w:hideMark/>
          </w:tcPr>
          <w:p w:rsidR="002F1C54" w:rsidRPr="00BE4A37" w:rsidRDefault="002F1C54" w:rsidP="00D73F13">
            <w:pPr>
              <w:jc w:val="center"/>
              <w:rPr>
                <w:rFonts w:ascii="Garamond" w:hAnsi="Garamond" w:cs="Calibri"/>
                <w:color w:val="000000"/>
                <w:sz w:val="20"/>
                <w:szCs w:val="20"/>
                <w:lang w:eastAsia="en-US"/>
              </w:rPr>
            </w:pP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Pr="00167ECC" w:rsidRDefault="002F1C54" w:rsidP="002F1C54">
      <w:pPr>
        <w:pStyle w:val="Titolo1"/>
        <w:spacing w:before="0"/>
      </w:pPr>
      <w:bookmarkStart w:id="9" w:name="_Toc359506057"/>
      <w:r>
        <w:t>Entità dell’evasione a livello regionale e stima dell’indice di rischio di evasione</w:t>
      </w:r>
      <w:bookmarkEnd w:id="9"/>
    </w:p>
    <w:p w:rsidR="002F1C54" w:rsidRDefault="002F1C54" w:rsidP="002F1C54">
      <w:pPr>
        <w:spacing w:line="360" w:lineRule="auto"/>
        <w:jc w:val="both"/>
      </w:pPr>
    </w:p>
    <w:p w:rsidR="002F1C54" w:rsidRDefault="002F1C54" w:rsidP="002F1C54">
      <w:pPr>
        <w:spacing w:line="360" w:lineRule="auto"/>
        <w:jc w:val="both"/>
      </w:pPr>
      <w:r>
        <w:t xml:space="preserve">Partendo dalle stime precedentemente mostrate, andremo a stimare il dato a livello regionale per la Lombardia. L’entità sarà stimata pesando il dato per i fattori che gli studi hanno mostrato avere un influsso significativo sulla propensione ad evadere. </w:t>
      </w:r>
    </w:p>
    <w:p w:rsidR="002F1C54" w:rsidRDefault="002F1C54" w:rsidP="002F1C54">
      <w:pPr>
        <w:spacing w:line="360" w:lineRule="auto"/>
        <w:jc w:val="both"/>
      </w:pPr>
    </w:p>
    <w:p w:rsidR="002F1C54" w:rsidRPr="00043771" w:rsidRDefault="002F1C54" w:rsidP="002F1C54">
      <w:pPr>
        <w:pStyle w:val="Titolo2"/>
        <w:spacing w:before="0" w:line="360" w:lineRule="auto"/>
        <w:rPr>
          <w:rFonts w:ascii="Times New Roman" w:hAnsi="Times New Roman" w:cs="Times New Roman"/>
          <w:color w:val="auto"/>
          <w:sz w:val="24"/>
          <w:szCs w:val="24"/>
        </w:rPr>
      </w:pPr>
      <w:bookmarkStart w:id="10" w:name="_Toc359506058"/>
      <w:r w:rsidRPr="00043771">
        <w:rPr>
          <w:rFonts w:ascii="Times New Roman" w:hAnsi="Times New Roman" w:cs="Times New Roman"/>
          <w:color w:val="auto"/>
          <w:sz w:val="24"/>
          <w:szCs w:val="24"/>
        </w:rPr>
        <w:t>Sommerso ISTAT, Lombardia.</w:t>
      </w:r>
      <w:bookmarkEnd w:id="10"/>
    </w:p>
    <w:p w:rsidR="002F1C54" w:rsidRDefault="002F1C54" w:rsidP="002F1C54">
      <w:pPr>
        <w:spacing w:line="360" w:lineRule="auto"/>
        <w:jc w:val="both"/>
      </w:pPr>
    </w:p>
    <w:p w:rsidR="002F1C54" w:rsidRDefault="002F1C54" w:rsidP="002F1C54">
      <w:pPr>
        <w:spacing w:line="360" w:lineRule="auto"/>
        <w:jc w:val="both"/>
      </w:pPr>
      <w:r>
        <w:t xml:space="preserve">Nel caso del sommerso stimato dall’ISTAT, come presentato nella sezione iniziale, conosciamo i valori relativi al 2009 suddivisi a livello di settori economici. Da questi é possibile sapere che dei quasi 276 miliardi (ipotesi massima) evasi a livello italiano, 9,2 sono da imputare al settore agricolo, 52,9 all’industria (che ricomprende il dato delle costruzioni) e 213 miliardi di euro al settore dei servizi. Purtroppo, é possibile osservare (si rimanda alle tabelle inserite nella sezione precedente) come la propensione ad evadere stimata dall’ISTAT a livello settoriale, sia diversa in </w:t>
      </w:r>
      <w:r>
        <w:lastRenderedPageBreak/>
        <w:t>modo significativo dal dato fornito dalla Corte dei Conti per quanto concerne il gettito IRAP evaso. Pertanto, non é possibile ipotizzare un comportamento simile tra le diverse imposte considerate, aspetto che permetterebbe di sfruttare le informazioni desunte dagli altri studi per applicarle ad altre entità. Inoltre, non esistendo stime disponibili che pongano in relazione l’effetto dei settori con l’area territoriale, per stimare l’entità evasa a livello regionale possiamo utilizzare solamente il dato settoriale stimato a livello nazionale, ipotizzando che non vi siano effetti di interazione, ma che l’impatto esercitato dal settore economico sulla propensione ad evadere sia il medesimo in tutte le regioni italiane. Come mostra la tabella sottostante, quindi, nella regione Lombardia nel 2008 erano presenti il 6,3% delle aziende attive nel settore agricolo, il 18,4% di quelle operanti nel settore industriale e edile e il 17% del settore dei servizi.</w:t>
      </w:r>
    </w:p>
    <w:p w:rsidR="002F1C54" w:rsidRDefault="002F1C54" w:rsidP="002F1C54">
      <w:pPr>
        <w:spacing w:line="360" w:lineRule="auto"/>
        <w:jc w:val="both"/>
      </w:pPr>
    </w:p>
    <w:tbl>
      <w:tblPr>
        <w:tblW w:w="6675" w:type="dxa"/>
        <w:jc w:val="center"/>
        <w:tblInd w:w="93" w:type="dxa"/>
        <w:tblLook w:val="04A0"/>
      </w:tblPr>
      <w:tblGrid>
        <w:gridCol w:w="3045"/>
        <w:gridCol w:w="1455"/>
        <w:gridCol w:w="375"/>
        <w:gridCol w:w="1165"/>
        <w:gridCol w:w="635"/>
      </w:tblGrid>
      <w:tr w:rsidR="002F1C54" w:rsidRPr="00AD4B73" w:rsidTr="00D73F13">
        <w:trPr>
          <w:gridAfter w:val="1"/>
          <w:wAfter w:w="635" w:type="dxa"/>
          <w:trHeight w:val="270"/>
          <w:jc w:val="center"/>
        </w:trPr>
        <w:tc>
          <w:tcPr>
            <w:tcW w:w="450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BE4A37">
              <w:rPr>
                <w:rFonts w:ascii="Garamond" w:hAnsi="Garamond" w:cs="Calibri"/>
                <w:b/>
                <w:bCs/>
                <w:color w:val="000000"/>
                <w:sz w:val="20"/>
                <w:szCs w:val="20"/>
                <w:lang w:eastAsia="en-US"/>
              </w:rPr>
              <w:t xml:space="preserve">Imprese attive per settore economico. </w:t>
            </w:r>
            <w:r w:rsidRPr="00AD4B73">
              <w:rPr>
                <w:rFonts w:ascii="Garamond" w:hAnsi="Garamond" w:cs="Calibri"/>
                <w:b/>
                <w:bCs/>
                <w:color w:val="000000"/>
                <w:sz w:val="20"/>
                <w:szCs w:val="20"/>
                <w:lang w:val="en-US" w:eastAsia="en-US"/>
              </w:rPr>
              <w:t>Anno 2008.</w:t>
            </w:r>
          </w:p>
        </w:tc>
        <w:tc>
          <w:tcPr>
            <w:tcW w:w="154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 </w:t>
            </w:r>
          </w:p>
        </w:tc>
      </w:tr>
      <w:tr w:rsidR="002F1C54" w:rsidRPr="00AD4B73" w:rsidTr="00D73F13">
        <w:trPr>
          <w:trHeight w:val="270"/>
          <w:jc w:val="center"/>
        </w:trPr>
        <w:tc>
          <w:tcPr>
            <w:tcW w:w="3045" w:type="dxa"/>
            <w:tcBorders>
              <w:top w:val="nil"/>
              <w:left w:val="nil"/>
              <w:bottom w:val="single" w:sz="8" w:space="0" w:color="auto"/>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 </w:t>
            </w:r>
          </w:p>
        </w:tc>
        <w:tc>
          <w:tcPr>
            <w:tcW w:w="183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Lombardia</w:t>
            </w:r>
          </w:p>
        </w:tc>
        <w:tc>
          <w:tcPr>
            <w:tcW w:w="1800" w:type="dxa"/>
            <w:gridSpan w:val="2"/>
            <w:tcBorders>
              <w:top w:val="single" w:sz="4" w:space="0" w:color="auto"/>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Italia</w:t>
            </w:r>
          </w:p>
        </w:tc>
      </w:tr>
      <w:tr w:rsidR="002F1C54" w:rsidRPr="00AD4B73" w:rsidTr="00D73F13">
        <w:trPr>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56</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081</w:t>
            </w:r>
          </w:p>
        </w:tc>
        <w:tc>
          <w:tcPr>
            <w:tcW w:w="180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892</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157</w:t>
            </w:r>
          </w:p>
        </w:tc>
      </w:tr>
      <w:tr w:rsidR="002F1C54" w:rsidRPr="00AD4B73" w:rsidTr="00D73F13">
        <w:trPr>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267</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385</w:t>
            </w:r>
          </w:p>
        </w:tc>
        <w:tc>
          <w:tcPr>
            <w:tcW w:w="180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450</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759</w:t>
            </w:r>
          </w:p>
        </w:tc>
      </w:tr>
      <w:tr w:rsidR="002F1C54" w:rsidRPr="00AD4B73" w:rsidTr="00D73F13">
        <w:trPr>
          <w:trHeight w:val="270"/>
          <w:jc w:val="center"/>
        </w:trPr>
        <w:tc>
          <w:tcPr>
            <w:tcW w:w="3045" w:type="dxa"/>
            <w:tcBorders>
              <w:top w:val="nil"/>
              <w:left w:val="nil"/>
              <w:bottom w:val="single" w:sz="8" w:space="0" w:color="auto"/>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506</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747</w:t>
            </w:r>
          </w:p>
        </w:tc>
        <w:tc>
          <w:tcPr>
            <w:tcW w:w="180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973</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188</w:t>
            </w:r>
          </w:p>
        </w:tc>
      </w:tr>
      <w:tr w:rsidR="002F1C54" w:rsidRPr="00AD4B73" w:rsidTr="00D73F13">
        <w:trPr>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6.3</w:t>
            </w:r>
          </w:p>
        </w:tc>
        <w:tc>
          <w:tcPr>
            <w:tcW w:w="180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2F1C54" w:rsidRPr="00AD4B73" w:rsidTr="00D73F13">
        <w:trPr>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18.4</w:t>
            </w:r>
          </w:p>
        </w:tc>
        <w:tc>
          <w:tcPr>
            <w:tcW w:w="180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2F1C54" w:rsidRPr="00AD4B73" w:rsidTr="00D73F13">
        <w:trPr>
          <w:trHeight w:val="270"/>
          <w:jc w:val="center"/>
        </w:trPr>
        <w:tc>
          <w:tcPr>
            <w:tcW w:w="3045" w:type="dxa"/>
            <w:tcBorders>
              <w:top w:val="nil"/>
              <w:left w:val="nil"/>
              <w:bottom w:val="single" w:sz="8" w:space="0" w:color="auto"/>
              <w:right w:val="nil"/>
            </w:tcBorders>
            <w:shd w:val="clear" w:color="auto" w:fill="auto"/>
            <w:noWrap/>
            <w:vAlign w:val="bottom"/>
            <w:hideMark/>
          </w:tcPr>
          <w:p w:rsidR="002F1C54" w:rsidRPr="00AD4B73" w:rsidRDefault="002F1C54" w:rsidP="00D73F1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17.0</w:t>
            </w:r>
          </w:p>
        </w:tc>
        <w:tc>
          <w:tcPr>
            <w:tcW w:w="1800" w:type="dxa"/>
            <w:gridSpan w:val="2"/>
            <w:tcBorders>
              <w:top w:val="nil"/>
              <w:left w:val="nil"/>
              <w:bottom w:val="single" w:sz="8" w:space="0" w:color="auto"/>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2F1C54" w:rsidRPr="00AD4B73" w:rsidTr="00D73F13">
        <w:trPr>
          <w:gridAfter w:val="1"/>
          <w:wAfter w:w="635" w:type="dxa"/>
          <w:trHeight w:val="255"/>
          <w:jc w:val="center"/>
        </w:trPr>
        <w:tc>
          <w:tcPr>
            <w:tcW w:w="3045" w:type="dxa"/>
            <w:tcBorders>
              <w:top w:val="nil"/>
              <w:left w:val="nil"/>
              <w:bottom w:val="nil"/>
              <w:right w:val="nil"/>
            </w:tcBorders>
            <w:shd w:val="clear" w:color="auto" w:fill="auto"/>
            <w:noWrap/>
            <w:vAlign w:val="bottom"/>
            <w:hideMark/>
          </w:tcPr>
          <w:p w:rsidR="002F1C54" w:rsidRPr="00AD4B73" w:rsidRDefault="002F1C54" w:rsidP="00D73F13">
            <w:pPr>
              <w:rPr>
                <w:rFonts w:ascii="Garamond" w:hAnsi="Garamond" w:cs="Calibri"/>
                <w:b/>
                <w:bCs/>
                <w:color w:val="000000"/>
                <w:sz w:val="18"/>
                <w:szCs w:val="18"/>
                <w:lang w:val="en-US" w:eastAsia="en-US"/>
              </w:rPr>
            </w:pPr>
            <w:r w:rsidRPr="00AD4B73">
              <w:rPr>
                <w:rFonts w:ascii="Garamond" w:hAnsi="Garamond" w:cs="Calibri"/>
                <w:b/>
                <w:bCs/>
                <w:color w:val="000000"/>
                <w:sz w:val="18"/>
                <w:szCs w:val="18"/>
                <w:lang w:val="en-US" w:eastAsia="en-US"/>
              </w:rPr>
              <w:t>Fonte: dati Movimprese</w:t>
            </w:r>
          </w:p>
        </w:tc>
        <w:tc>
          <w:tcPr>
            <w:tcW w:w="1455" w:type="dxa"/>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2F1C54" w:rsidRPr="00AD4B73" w:rsidRDefault="002F1C54" w:rsidP="00D73F13">
            <w:pPr>
              <w:jc w:val="center"/>
              <w:rPr>
                <w:rFonts w:ascii="Garamond" w:hAnsi="Garamond" w:cs="Calibri"/>
                <w:color w:val="000000"/>
                <w:sz w:val="20"/>
                <w:szCs w:val="20"/>
                <w:lang w:val="en-US" w:eastAsia="en-US"/>
              </w:rPr>
            </w:pPr>
          </w:p>
        </w:tc>
      </w:tr>
    </w:tbl>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r>
        <w:t>Facendo uso delle proporzioni precedentemente definite possiamo quindi stimare l’apporto della regione Lombardia al valore aggiunto prodotto dal sommerso nazionale. All’interno della regione, pertanto, possiamo calcolare 578,8 milioni di euro dipendenti dal settore agricolo, 9,7 miliardi dal settore industriale in senso ampio (comprendente anche il settore delle costruzioni) e 36,2 miliardi derivabili dal settore dei servizi.</w:t>
      </w:r>
    </w:p>
    <w:p w:rsidR="002F1C54" w:rsidRDefault="002F1C54" w:rsidP="002F1C54">
      <w:pPr>
        <w:spacing w:line="360" w:lineRule="auto"/>
        <w:jc w:val="both"/>
      </w:pPr>
    </w:p>
    <w:tbl>
      <w:tblPr>
        <w:tblW w:w="6568" w:type="dxa"/>
        <w:jc w:val="center"/>
        <w:tblInd w:w="93" w:type="dxa"/>
        <w:tblLook w:val="04A0"/>
      </w:tblPr>
      <w:tblGrid>
        <w:gridCol w:w="3064"/>
        <w:gridCol w:w="332"/>
        <w:gridCol w:w="1247"/>
        <w:gridCol w:w="215"/>
        <w:gridCol w:w="1187"/>
        <w:gridCol w:w="523"/>
      </w:tblGrid>
      <w:tr w:rsidR="002F1C54" w:rsidRPr="0002682E" w:rsidTr="00D73F13">
        <w:trPr>
          <w:gridAfter w:val="1"/>
          <w:wAfter w:w="523" w:type="dxa"/>
          <w:trHeight w:val="270"/>
          <w:jc w:val="center"/>
        </w:trPr>
        <w:tc>
          <w:tcPr>
            <w:tcW w:w="6045" w:type="dxa"/>
            <w:gridSpan w:val="5"/>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xml:space="preserve">Valore aggiunto prodotto dal sommerso e stima a livello regionale </w:t>
            </w:r>
          </w:p>
        </w:tc>
      </w:tr>
      <w:tr w:rsidR="002F1C54" w:rsidRPr="0002682E" w:rsidTr="00D73F13">
        <w:trPr>
          <w:trHeight w:val="270"/>
          <w:jc w:val="center"/>
        </w:trPr>
        <w:tc>
          <w:tcPr>
            <w:tcW w:w="3064" w:type="dxa"/>
            <w:tcBorders>
              <w:top w:val="nil"/>
              <w:left w:val="nil"/>
              <w:bottom w:val="single" w:sz="8" w:space="0" w:color="auto"/>
              <w:right w:val="nil"/>
            </w:tcBorders>
            <w:shd w:val="clear" w:color="auto" w:fill="auto"/>
            <w:noWrap/>
            <w:vAlign w:val="bottom"/>
            <w:hideMark/>
          </w:tcPr>
          <w:p w:rsidR="002F1C54" w:rsidRPr="00BE4A37" w:rsidRDefault="002F1C54" w:rsidP="00D73F13">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w:t>
            </w:r>
          </w:p>
        </w:tc>
        <w:tc>
          <w:tcPr>
            <w:tcW w:w="1794" w:type="dxa"/>
            <w:gridSpan w:val="3"/>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Lombardia</w:t>
            </w:r>
          </w:p>
        </w:tc>
        <w:tc>
          <w:tcPr>
            <w:tcW w:w="1710" w:type="dxa"/>
            <w:gridSpan w:val="2"/>
            <w:tcBorders>
              <w:top w:val="single" w:sz="4" w:space="0" w:color="auto"/>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Italia</w:t>
            </w:r>
          </w:p>
        </w:tc>
      </w:tr>
      <w:tr w:rsidR="002F1C54" w:rsidRPr="0002682E" w:rsidTr="00D73F13">
        <w:trPr>
          <w:trHeight w:val="255"/>
          <w:jc w:val="center"/>
        </w:trPr>
        <w:tc>
          <w:tcPr>
            <w:tcW w:w="3064" w:type="dxa"/>
            <w:tcBorders>
              <w:top w:val="nil"/>
              <w:left w:val="nil"/>
              <w:bottom w:val="nil"/>
              <w:right w:val="nil"/>
            </w:tcBorders>
            <w:shd w:val="clear" w:color="auto" w:fill="auto"/>
            <w:noWrap/>
            <w:vAlign w:val="bottom"/>
            <w:hideMark/>
          </w:tcPr>
          <w:p w:rsidR="002F1C54" w:rsidRPr="0002682E" w:rsidRDefault="002F1C54" w:rsidP="00D73F13">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Agricoltura</w:t>
            </w:r>
          </w:p>
        </w:tc>
        <w:tc>
          <w:tcPr>
            <w:tcW w:w="1794" w:type="dxa"/>
            <w:gridSpan w:val="3"/>
            <w:tcBorders>
              <w:top w:val="nil"/>
              <w:left w:val="nil"/>
              <w:bottom w:val="nil"/>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578</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844</w:t>
            </w:r>
          </w:p>
        </w:tc>
        <w:tc>
          <w:tcPr>
            <w:tcW w:w="1710" w:type="dxa"/>
            <w:gridSpan w:val="2"/>
            <w:tcBorders>
              <w:top w:val="nil"/>
              <w:left w:val="nil"/>
              <w:bottom w:val="nil"/>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188</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2F1C54" w:rsidRPr="0002682E" w:rsidTr="00D73F13">
        <w:trPr>
          <w:trHeight w:val="255"/>
          <w:jc w:val="center"/>
        </w:trPr>
        <w:tc>
          <w:tcPr>
            <w:tcW w:w="3064" w:type="dxa"/>
            <w:tcBorders>
              <w:top w:val="nil"/>
              <w:left w:val="nil"/>
              <w:bottom w:val="nil"/>
              <w:right w:val="nil"/>
            </w:tcBorders>
            <w:shd w:val="clear" w:color="auto" w:fill="auto"/>
            <w:noWrap/>
            <w:vAlign w:val="bottom"/>
            <w:hideMark/>
          </w:tcPr>
          <w:p w:rsidR="002F1C54" w:rsidRPr="0002682E" w:rsidRDefault="002F1C54" w:rsidP="00D73F13">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Industria + Costruzioni</w:t>
            </w:r>
          </w:p>
        </w:tc>
        <w:tc>
          <w:tcPr>
            <w:tcW w:w="1794" w:type="dxa"/>
            <w:gridSpan w:val="3"/>
            <w:tcBorders>
              <w:top w:val="nil"/>
              <w:left w:val="nil"/>
              <w:bottom w:val="nil"/>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730</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104</w:t>
            </w:r>
          </w:p>
        </w:tc>
        <w:tc>
          <w:tcPr>
            <w:tcW w:w="1710" w:type="dxa"/>
            <w:gridSpan w:val="2"/>
            <w:tcBorders>
              <w:top w:val="nil"/>
              <w:left w:val="nil"/>
              <w:bottom w:val="nil"/>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52</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881</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2F1C54" w:rsidRPr="0002682E" w:rsidTr="00D73F13">
        <w:trPr>
          <w:trHeight w:val="270"/>
          <w:jc w:val="center"/>
        </w:trPr>
        <w:tc>
          <w:tcPr>
            <w:tcW w:w="3064" w:type="dxa"/>
            <w:tcBorders>
              <w:top w:val="nil"/>
              <w:left w:val="nil"/>
              <w:bottom w:val="single" w:sz="8" w:space="0" w:color="auto"/>
              <w:right w:val="nil"/>
            </w:tcBorders>
            <w:shd w:val="clear" w:color="auto" w:fill="auto"/>
            <w:noWrap/>
            <w:vAlign w:val="bottom"/>
            <w:hideMark/>
          </w:tcPr>
          <w:p w:rsidR="002F1C54" w:rsidRPr="0002682E" w:rsidRDefault="002F1C54" w:rsidP="00D73F13">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Servizi</w:t>
            </w:r>
          </w:p>
        </w:tc>
        <w:tc>
          <w:tcPr>
            <w:tcW w:w="1794" w:type="dxa"/>
            <w:gridSpan w:val="3"/>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36</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206</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260</w:t>
            </w:r>
          </w:p>
        </w:tc>
        <w:tc>
          <w:tcPr>
            <w:tcW w:w="1710" w:type="dxa"/>
            <w:gridSpan w:val="2"/>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212</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978</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2F1C54" w:rsidRPr="0002682E" w:rsidTr="00D73F13">
        <w:trPr>
          <w:trHeight w:val="270"/>
          <w:jc w:val="center"/>
        </w:trPr>
        <w:tc>
          <w:tcPr>
            <w:tcW w:w="3064" w:type="dxa"/>
            <w:tcBorders>
              <w:top w:val="nil"/>
              <w:left w:val="nil"/>
              <w:bottom w:val="single" w:sz="8" w:space="0" w:color="auto"/>
              <w:right w:val="nil"/>
            </w:tcBorders>
            <w:shd w:val="clear" w:color="auto" w:fill="auto"/>
            <w:noWrap/>
            <w:vAlign w:val="bottom"/>
            <w:hideMark/>
          </w:tcPr>
          <w:p w:rsidR="002F1C54" w:rsidRPr="0002682E" w:rsidRDefault="002F1C54" w:rsidP="00D73F13">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Totale evasione</w:t>
            </w:r>
          </w:p>
        </w:tc>
        <w:tc>
          <w:tcPr>
            <w:tcW w:w="1794" w:type="dxa"/>
            <w:gridSpan w:val="3"/>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46</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515</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208</w:t>
            </w:r>
          </w:p>
        </w:tc>
        <w:tc>
          <w:tcPr>
            <w:tcW w:w="1710" w:type="dxa"/>
            <w:gridSpan w:val="2"/>
            <w:tcBorders>
              <w:top w:val="nil"/>
              <w:left w:val="nil"/>
              <w:bottom w:val="single" w:sz="8" w:space="0" w:color="auto"/>
              <w:right w:val="nil"/>
            </w:tcBorders>
            <w:shd w:val="clear" w:color="auto" w:fill="auto"/>
            <w:noWrap/>
            <w:vAlign w:val="bottom"/>
            <w:hideMark/>
          </w:tcPr>
          <w:p w:rsidR="002F1C54" w:rsidRPr="0002682E" w:rsidRDefault="002F1C54" w:rsidP="00D73F13">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047</w:t>
            </w:r>
            <w:r>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2F1C54" w:rsidRPr="0002682E" w:rsidTr="00D73F13">
        <w:trPr>
          <w:gridAfter w:val="1"/>
          <w:wAfter w:w="523" w:type="dxa"/>
          <w:trHeight w:val="255"/>
          <w:jc w:val="center"/>
        </w:trPr>
        <w:tc>
          <w:tcPr>
            <w:tcW w:w="6045" w:type="dxa"/>
            <w:gridSpan w:val="5"/>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elaborazioni IRES Morosini su dati Giovannini et al. 2011</w:t>
            </w:r>
          </w:p>
        </w:tc>
      </w:tr>
      <w:tr w:rsidR="002F1C54" w:rsidRPr="0002682E" w:rsidTr="00D73F13">
        <w:trPr>
          <w:gridAfter w:val="1"/>
          <w:wAfter w:w="523" w:type="dxa"/>
          <w:trHeight w:val="255"/>
          <w:jc w:val="center"/>
        </w:trPr>
        <w:tc>
          <w:tcPr>
            <w:tcW w:w="3396" w:type="dxa"/>
            <w:gridSpan w:val="2"/>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 dati in migliaia di euro</w:t>
            </w:r>
          </w:p>
        </w:tc>
        <w:tc>
          <w:tcPr>
            <w:tcW w:w="1247" w:type="dxa"/>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color w:val="000000"/>
                <w:sz w:val="20"/>
                <w:szCs w:val="20"/>
                <w:lang w:eastAsia="en-US"/>
              </w:rPr>
            </w:pPr>
          </w:p>
        </w:tc>
        <w:tc>
          <w:tcPr>
            <w:tcW w:w="1402" w:type="dxa"/>
            <w:gridSpan w:val="2"/>
            <w:tcBorders>
              <w:top w:val="nil"/>
              <w:left w:val="nil"/>
              <w:bottom w:val="nil"/>
              <w:right w:val="nil"/>
            </w:tcBorders>
            <w:shd w:val="clear" w:color="auto" w:fill="auto"/>
            <w:noWrap/>
            <w:vAlign w:val="bottom"/>
            <w:hideMark/>
          </w:tcPr>
          <w:p w:rsidR="002F1C54" w:rsidRPr="00BE4A37" w:rsidRDefault="002F1C54" w:rsidP="00D73F13">
            <w:pPr>
              <w:rPr>
                <w:rFonts w:ascii="Garamond" w:hAnsi="Garamond" w:cs="Calibri"/>
                <w:color w:val="000000"/>
                <w:sz w:val="20"/>
                <w:szCs w:val="20"/>
                <w:lang w:eastAsia="en-US"/>
              </w:rPr>
            </w:pPr>
          </w:p>
        </w:tc>
      </w:tr>
    </w:tbl>
    <w:p w:rsidR="002F1C54" w:rsidRDefault="002F1C54" w:rsidP="002F1C54">
      <w:pPr>
        <w:spacing w:line="360" w:lineRule="auto"/>
        <w:jc w:val="both"/>
        <w:rPr>
          <w:b/>
        </w:rPr>
      </w:pPr>
    </w:p>
    <w:p w:rsidR="002F1C54" w:rsidRDefault="002F1C54" w:rsidP="002F1C54">
      <w:pPr>
        <w:spacing w:line="360" w:lineRule="auto"/>
        <w:jc w:val="both"/>
        <w:rPr>
          <w:b/>
        </w:rPr>
      </w:pPr>
    </w:p>
    <w:p w:rsidR="002F1C54" w:rsidRDefault="002F1C54" w:rsidP="002F1C54">
      <w:pPr>
        <w:spacing w:line="360" w:lineRule="auto"/>
        <w:jc w:val="both"/>
        <w:rPr>
          <w:b/>
        </w:rPr>
      </w:pPr>
    </w:p>
    <w:p w:rsidR="002F1C54" w:rsidRDefault="002F1C54" w:rsidP="002F1C54">
      <w:pPr>
        <w:spacing w:line="360" w:lineRule="auto"/>
        <w:jc w:val="both"/>
        <w:rPr>
          <w:b/>
        </w:rPr>
      </w:pPr>
    </w:p>
    <w:p w:rsidR="002F1C54" w:rsidRPr="00043771" w:rsidRDefault="002F1C54" w:rsidP="002F1C54">
      <w:pPr>
        <w:pStyle w:val="Titolo2"/>
        <w:spacing w:before="0" w:line="360" w:lineRule="auto"/>
        <w:rPr>
          <w:rFonts w:ascii="Times New Roman" w:hAnsi="Times New Roman" w:cs="Times New Roman"/>
          <w:color w:val="auto"/>
          <w:sz w:val="24"/>
          <w:szCs w:val="24"/>
        </w:rPr>
      </w:pPr>
      <w:bookmarkStart w:id="11" w:name="_Toc359506059"/>
      <w:r w:rsidRPr="00043771">
        <w:rPr>
          <w:rFonts w:ascii="Times New Roman" w:hAnsi="Times New Roman" w:cs="Times New Roman"/>
          <w:color w:val="auto"/>
          <w:sz w:val="24"/>
          <w:szCs w:val="24"/>
        </w:rPr>
        <w:lastRenderedPageBreak/>
        <w:t>Il gettito IVA e IRAP evaso (e relativa base imponibile)</w:t>
      </w:r>
      <w:bookmarkEnd w:id="11"/>
    </w:p>
    <w:p w:rsidR="002F1C54" w:rsidRDefault="002F1C54" w:rsidP="002F1C54">
      <w:pPr>
        <w:spacing w:line="360" w:lineRule="auto"/>
        <w:jc w:val="both"/>
      </w:pPr>
    </w:p>
    <w:p w:rsidR="002F1C54" w:rsidRDefault="002F1C54" w:rsidP="002F1C54">
      <w:pPr>
        <w:spacing w:line="360" w:lineRule="auto"/>
        <w:jc w:val="both"/>
      </w:pPr>
      <w:r>
        <w:t>Nel caso invece della base imponibile e del gettito evaso dell’IVA i dati forniti permettono di avere un’idea della suddivisione a livello territoriale per macro-area, ma non forniscono alcuna informazione utile a livello di settore economico. Quello che però é possibile ipotizzare é che il dato sia fortemente correlato con la presenza di imprenditori e lavoratori autonomi in generale, da un lato, e con la diffusione di piccole e medie imprese (o autonomi senza dipendenti), data la minore complessità organizzativa dell’azienda. Da questo punto di vista i dati forniti dall’ISTAT e dall’Annuario Statistico Regionale della Lombardia indicano che a livello di Nord-Ovest, in Lombardia opera il 60,2% dei lavoratori con una posizione professionale indipendente (poco più di 1 milione rispetto agli 1,7 milioni di tutto il Nord-Ovest) e sono attive il 62,5% delle imprese operanti nel Nord-Ovest con massimo 9 addetti. Dato che i due dati coincidono é possibile calcolare rapidamente l’entità evasa ipotizzata per la regione Lombardia. Sapendo che il gettito evaso del Nord-Ovest é il 26% del totale nazionale, abbiamo ipotizzato che il rapporto sia il medesimo anche per quanto concerne la base non dichiarata. Di questo 26%, rispettivamente pari a 9,994 miliardi di euro e 60,26 miliardi, il 60% circa (coerentemente con quanto ipotizzato) sarebbe da attribuire alla regione Lombardia. Il dato però appare però eccessivo se posto in relazione con i risultati dello studio svolto dall’Agenzia delle entrate nel 2006 con riferimento all’imposta dell’IRAP [Pisani e Polito 2006]. All’interno dello studio in questione la media evasa in Lombardia tra il 1998 e il 2002 risultava essere poco più del 44% della cifra evasa nel Nord-Ovest. Purtroppo, l’assunzione che il rapporto sia il medesimo anche per l’IVA non sarebbe suffragata da alcuna ricerca. Pertanto, anche per ridurre il possibile errore, all’interno del nostro studio assumiamo che il gettito IVA evaso in Lombardia stia a metà tra le due cifre precedentemente definite per un valore di circa 5,2 miliardi (e nel caso della base imponibile di circa 31,3 miliardi). Nel caso dell’IRAP invece, ipotizziamo che i “rapporti di forza” tra le regioni si siano mantenuti costanti nel tempo (ipotesi anche questa abbastanza forte) e pertanto assumeremo nel nostro studio che il 44% degli 1,8 miliardi di gettito evaso sia da attribuire alla Lombardia (vale a dire 790 milioni di euro).</w:t>
      </w:r>
    </w:p>
    <w:p w:rsidR="002F1C54" w:rsidRDefault="002F1C54" w:rsidP="002F1C54">
      <w:pPr>
        <w:spacing w:line="360" w:lineRule="auto"/>
        <w:jc w:val="both"/>
        <w:rPr>
          <w:b/>
        </w:rPr>
      </w:pPr>
    </w:p>
    <w:p w:rsidR="002F1C54" w:rsidRPr="00303753" w:rsidRDefault="002F1C54" w:rsidP="002F1C54">
      <w:pPr>
        <w:pStyle w:val="Titolo1"/>
        <w:spacing w:before="0"/>
      </w:pPr>
      <w:bookmarkStart w:id="12" w:name="_Toc359506060"/>
      <w:r w:rsidRPr="00303753">
        <w:t>L’indicatore di rischio di evasione.</w:t>
      </w:r>
      <w:bookmarkEnd w:id="12"/>
    </w:p>
    <w:p w:rsidR="002F1C54" w:rsidRPr="000D2CDB" w:rsidRDefault="002F1C54" w:rsidP="002F1C54">
      <w:pPr>
        <w:spacing w:line="360" w:lineRule="auto"/>
        <w:jc w:val="both"/>
      </w:pPr>
    </w:p>
    <w:p w:rsidR="002F1C54" w:rsidRDefault="002F1C54" w:rsidP="002F1C54">
      <w:pPr>
        <w:spacing w:line="360" w:lineRule="auto"/>
        <w:jc w:val="both"/>
      </w:pPr>
      <w:r>
        <w:t xml:space="preserve">Nella fase successiva dello studio, per determinare le differenze a livello territoriale faremo uso di un indicatore di rischio di evasione fiscale. Sottraendo la ricchezza dichiarata con il benessere effettivo diventa possibile classificare i territori in funzione dello scarto esistente tra risorse e costi effettivamente sostenuti. L’obiettivo, quindi, è di calcolare la differenza tra i redditi disponibili e la </w:t>
      </w:r>
      <w:r>
        <w:lastRenderedPageBreak/>
        <w:t xml:space="preserve">spesa complessiva dichiarati dalla popolazione a livello territoriale (regione, provincia o comune). Il meccanismo quindi risulta essere simile a quello di un bilancio, da un lato calcoliamo tutte le entrate della popolazione (reddito) e dall’altro individuiamo un paniere di voci che rappresentano le principali spese sostenute dai cittadini (uscite). All’intero del nostro studio, inoltre, ipotizziamo che il livello di risparmio medio delle province della regione Lombardia e dei comuni della provincia di Bergamo sia il medesimo all’interno di tutte le realtà considerate e pertanto tutti debbano sottostare al medesimo vincolo di bilancio (il reddito), senza poter attingere in maniera superiore ad altri comuni a risparmi bancari. </w:t>
      </w:r>
    </w:p>
    <w:p w:rsidR="002F1C54" w:rsidRDefault="002F1C54" w:rsidP="002F1C54">
      <w:pPr>
        <w:spacing w:line="360" w:lineRule="auto"/>
        <w:jc w:val="both"/>
      </w:pPr>
      <w:r>
        <w:t>In questo modo, diventa possibile sottrarre il valore della spesa sostenuta ai redditi, ordinando le aree in base a tale differenza. Valori altamente positivi sono indicatori del fatto che, all’interno di quel territorio, il reddito dichiarato al fisco è superiore alle spese effettivamente registrate. Al ridursi di questa differenza (soprattutto nel caso diventi un valore negativo), il rischio di evasione aumenta, in quanto il livello di spesa/benessere effettivo della popolazione tende ad essere troppo vicino (se non superiore) al reddito/ricchezza dichiarato. Ovviamente, dato il periodo di forte crisi economica uno scarto negativo potrebbe denotare non solo un rischio di evasione quanto l’erosione del risparmio privato. Per attenuare questo rischio, abbiamo calcolato questo indicatore all’interno delle province della regione Lombardia e dei comuni della provincia di Bergamo, ipotizzando quindi che le realtà considerate si caratterizzino per un contesto economico simile.</w:t>
      </w:r>
    </w:p>
    <w:p w:rsidR="002F1C54" w:rsidRDefault="002F1C54" w:rsidP="002F1C54">
      <w:pPr>
        <w:spacing w:line="360" w:lineRule="auto"/>
        <w:jc w:val="both"/>
      </w:pPr>
    </w:p>
    <w:tbl>
      <w:tblPr>
        <w:tblW w:w="9647" w:type="dxa"/>
        <w:jc w:val="center"/>
        <w:tblInd w:w="55" w:type="dxa"/>
        <w:tblCellMar>
          <w:left w:w="70" w:type="dxa"/>
          <w:right w:w="70" w:type="dxa"/>
        </w:tblCellMar>
        <w:tblLook w:val="0000"/>
      </w:tblPr>
      <w:tblGrid>
        <w:gridCol w:w="4481"/>
        <w:gridCol w:w="5166"/>
      </w:tblGrid>
      <w:tr w:rsidR="002F1C54" w:rsidTr="00D73F13">
        <w:trPr>
          <w:trHeight w:val="270"/>
          <w:jc w:val="center"/>
        </w:trPr>
        <w:tc>
          <w:tcPr>
            <w:tcW w:w="9647" w:type="dxa"/>
            <w:gridSpan w:val="2"/>
            <w:tcBorders>
              <w:top w:val="nil"/>
              <w:left w:val="nil"/>
              <w:bottom w:val="single" w:sz="8" w:space="0" w:color="auto"/>
              <w:right w:val="nil"/>
            </w:tcBorders>
            <w:noWrap/>
            <w:vAlign w:val="bottom"/>
          </w:tcPr>
          <w:p w:rsidR="002F1C54" w:rsidRDefault="002F1C54" w:rsidP="00D73F13">
            <w:pPr>
              <w:rPr>
                <w:rFonts w:ascii="Garamond" w:hAnsi="Garamond" w:cs="Arial"/>
                <w:b/>
                <w:bCs/>
                <w:sz w:val="20"/>
                <w:szCs w:val="20"/>
              </w:rPr>
            </w:pPr>
            <w:r>
              <w:rPr>
                <w:rFonts w:ascii="Garamond" w:hAnsi="Garamond" w:cs="Arial"/>
                <w:b/>
                <w:bCs/>
                <w:sz w:val="20"/>
                <w:szCs w:val="20"/>
              </w:rPr>
              <w:t>Indicatori di ricchezza e di benessere utilizzati </w:t>
            </w:r>
          </w:p>
        </w:tc>
      </w:tr>
      <w:tr w:rsidR="002F1C54" w:rsidTr="00D73F13">
        <w:trPr>
          <w:trHeight w:val="270"/>
          <w:jc w:val="center"/>
        </w:trPr>
        <w:tc>
          <w:tcPr>
            <w:tcW w:w="4481" w:type="dxa"/>
            <w:tcBorders>
              <w:top w:val="nil"/>
              <w:left w:val="nil"/>
              <w:bottom w:val="single" w:sz="8" w:space="0" w:color="auto"/>
              <w:right w:val="nil"/>
            </w:tcBorders>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Ricchezza (entrate)</w:t>
            </w:r>
          </w:p>
        </w:tc>
        <w:tc>
          <w:tcPr>
            <w:tcW w:w="5166" w:type="dxa"/>
            <w:tcBorders>
              <w:top w:val="nil"/>
              <w:left w:val="nil"/>
              <w:bottom w:val="single" w:sz="8" w:space="0" w:color="auto"/>
              <w:right w:val="nil"/>
            </w:tcBorders>
            <w:noWrap/>
            <w:vAlign w:val="bottom"/>
          </w:tcPr>
          <w:p w:rsidR="002F1C54" w:rsidRDefault="002F1C54" w:rsidP="00D73F13">
            <w:pPr>
              <w:jc w:val="center"/>
              <w:rPr>
                <w:rFonts w:ascii="Garamond" w:hAnsi="Garamond" w:cs="Arial"/>
                <w:b/>
                <w:bCs/>
                <w:sz w:val="20"/>
                <w:szCs w:val="20"/>
              </w:rPr>
            </w:pPr>
            <w:r>
              <w:rPr>
                <w:rFonts w:ascii="Garamond" w:hAnsi="Garamond" w:cs="Arial"/>
                <w:b/>
                <w:bCs/>
                <w:sz w:val="20"/>
                <w:szCs w:val="20"/>
              </w:rPr>
              <w:t>Benessere (uscite)</w:t>
            </w:r>
          </w:p>
        </w:tc>
      </w:tr>
      <w:tr w:rsidR="002F1C54" w:rsidTr="00D73F13">
        <w:trPr>
          <w:trHeight w:val="270"/>
          <w:jc w:val="center"/>
        </w:trPr>
        <w:tc>
          <w:tcPr>
            <w:tcW w:w="4481" w:type="dxa"/>
            <w:tcBorders>
              <w:top w:val="nil"/>
              <w:left w:val="nil"/>
              <w:bottom w:val="nil"/>
              <w:right w:val="nil"/>
            </w:tcBorders>
            <w:noWrap/>
            <w:vAlign w:val="bottom"/>
          </w:tcPr>
          <w:p w:rsidR="002F1C54" w:rsidRPr="001B2222" w:rsidRDefault="002F1C54" w:rsidP="00D73F13">
            <w:pPr>
              <w:pStyle w:val="Paragrafoelenco"/>
              <w:numPr>
                <w:ilvl w:val="0"/>
                <w:numId w:val="8"/>
              </w:numPr>
              <w:spacing w:after="60"/>
              <w:ind w:left="205" w:hanging="180"/>
              <w:rPr>
                <w:rFonts w:ascii="Garamond" w:hAnsi="Garamond" w:cs="Arial"/>
                <w:bCs/>
                <w:sz w:val="20"/>
                <w:szCs w:val="20"/>
              </w:rPr>
            </w:pPr>
            <w:r w:rsidRPr="001B2222">
              <w:rPr>
                <w:rFonts w:ascii="Garamond" w:hAnsi="Garamond" w:cs="Arial"/>
                <w:bCs/>
                <w:sz w:val="20"/>
                <w:szCs w:val="20"/>
              </w:rPr>
              <w:t>Reddito IRPEF 2009/2010 (dati Ministero dell’Economia e delle Finanze)</w:t>
            </w: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1 Consumi finali interni per beni e servizi (senza alimentari).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2009/2010 per dichiarante (Ist. Tagliacarne-ASR Lombardia).        </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2 Consumo di gas naturale (metri cubi da 38,1 MJ) 2009/2010</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per dichiarante. (dati Ministero dello Sviluppo Economico). </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3 Consumo di benzina e gasolio su rete ordinaria 2009 per 1000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dichiarante reddito Irpef (dati Ministero Sviluppo Economico)</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4 Tonnellate di rifiuti prodotti 2009/2010 ogni dichiarante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(dati ISTAT).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5 Euro per dichiarante reddito Irpef relativo al costo della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gestione dei rifiuti 2009/2010 (dati ARPA Lombardia)</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6 Auto immatricolate 2009/2010 ogni dichiarante (dati ACI).</w:t>
            </w:r>
          </w:p>
        </w:tc>
      </w:tr>
      <w:tr w:rsidR="002F1C54" w:rsidTr="00D73F13">
        <w:trPr>
          <w:trHeight w:val="140"/>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7 Auto dai 2500 cc 2009/2010 ogni 1000 dichiarante (dati ACI).</w:t>
            </w:r>
          </w:p>
        </w:tc>
      </w:tr>
      <w:tr w:rsidR="002F1C54" w:rsidTr="00D73F13">
        <w:trPr>
          <w:trHeight w:val="255"/>
          <w:jc w:val="center"/>
        </w:trPr>
        <w:tc>
          <w:tcPr>
            <w:tcW w:w="4481" w:type="dxa"/>
            <w:tcBorders>
              <w:top w:val="nil"/>
              <w:left w:val="nil"/>
              <w:bottom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8 Compravendita immobili residenziali ogni 1000 dichiarante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reddito Irpef 2009/2010 (banca dati OMI)</w:t>
            </w:r>
          </w:p>
        </w:tc>
      </w:tr>
      <w:tr w:rsidR="002F1C54" w:rsidTr="00D73F13">
        <w:trPr>
          <w:trHeight w:val="255"/>
          <w:jc w:val="center"/>
        </w:trPr>
        <w:tc>
          <w:tcPr>
            <w:tcW w:w="4481" w:type="dxa"/>
            <w:tcBorders>
              <w:top w:val="nil"/>
              <w:left w:val="nil"/>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9 Compravendita immobili commerciali e produttivi ogni 1000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dichiaranti reddito Irpef 2009/2010 (banca dati OMI)</w:t>
            </w:r>
          </w:p>
        </w:tc>
      </w:tr>
      <w:tr w:rsidR="002F1C54" w:rsidTr="00D73F13">
        <w:trPr>
          <w:trHeight w:val="255"/>
          <w:jc w:val="center"/>
        </w:trPr>
        <w:tc>
          <w:tcPr>
            <w:tcW w:w="4481" w:type="dxa"/>
            <w:tcBorders>
              <w:top w:val="nil"/>
              <w:left w:val="nil"/>
              <w:bottom w:val="single" w:sz="4" w:space="0" w:color="auto"/>
              <w:right w:val="nil"/>
            </w:tcBorders>
            <w:noWrap/>
            <w:vAlign w:val="bottom"/>
          </w:tcPr>
          <w:p w:rsidR="002F1C54" w:rsidRDefault="002F1C54" w:rsidP="00D73F13">
            <w:pPr>
              <w:spacing w:after="60"/>
              <w:jc w:val="center"/>
              <w:rPr>
                <w:rFonts w:ascii="Garamond" w:hAnsi="Garamond" w:cs="Arial"/>
                <w:bCs/>
                <w:sz w:val="20"/>
                <w:szCs w:val="20"/>
              </w:rPr>
            </w:pPr>
          </w:p>
        </w:tc>
        <w:tc>
          <w:tcPr>
            <w:tcW w:w="5166" w:type="dxa"/>
            <w:tcBorders>
              <w:top w:val="nil"/>
              <w:left w:val="nil"/>
              <w:bottom w:val="single" w:sz="4" w:space="0" w:color="auto"/>
              <w:right w:val="nil"/>
            </w:tcBorders>
            <w:noWrap/>
            <w:vAlign w:val="bottom"/>
          </w:tcPr>
          <w:p w:rsidR="002F1C54" w:rsidRDefault="002F1C54" w:rsidP="00D73F13">
            <w:pPr>
              <w:spacing w:after="60"/>
              <w:rPr>
                <w:rFonts w:ascii="Garamond" w:hAnsi="Garamond" w:cs="Arial"/>
                <w:bCs/>
                <w:sz w:val="20"/>
                <w:szCs w:val="20"/>
              </w:rPr>
            </w:pPr>
            <w:r>
              <w:rPr>
                <w:rFonts w:ascii="Garamond" w:hAnsi="Garamond" w:cs="Arial"/>
                <w:bCs/>
                <w:sz w:val="20"/>
                <w:szCs w:val="20"/>
              </w:rPr>
              <w:t xml:space="preserve">10  Depositi bancari per dichiaranti 2009/2010 ogni 1000 </w:t>
            </w:r>
          </w:p>
          <w:p w:rsidR="002F1C54" w:rsidRDefault="002F1C54" w:rsidP="00D73F13">
            <w:pPr>
              <w:spacing w:after="60"/>
              <w:rPr>
                <w:rFonts w:ascii="Garamond" w:hAnsi="Garamond" w:cs="Arial"/>
                <w:bCs/>
                <w:sz w:val="20"/>
                <w:szCs w:val="20"/>
              </w:rPr>
            </w:pPr>
            <w:r>
              <w:rPr>
                <w:rFonts w:ascii="Garamond" w:hAnsi="Garamond" w:cs="Arial"/>
                <w:bCs/>
                <w:sz w:val="20"/>
                <w:szCs w:val="20"/>
              </w:rPr>
              <w:t xml:space="preserve">     dichiaranti reddito Irpef (dati Banca d’Italia).</w:t>
            </w:r>
          </w:p>
        </w:tc>
      </w:tr>
    </w:tbl>
    <w:p w:rsidR="002F1C54" w:rsidRDefault="002F1C54" w:rsidP="002F1C54">
      <w:pPr>
        <w:spacing w:line="360" w:lineRule="auto"/>
        <w:jc w:val="center"/>
      </w:pPr>
    </w:p>
    <w:p w:rsidR="002F1C54" w:rsidRDefault="002F1C54" w:rsidP="002F1C54">
      <w:pPr>
        <w:spacing w:line="360" w:lineRule="auto"/>
        <w:jc w:val="both"/>
      </w:pPr>
      <w:r>
        <w:lastRenderedPageBreak/>
        <w:t>La presenza di comuni o province con scarti positivi ci porta ad ipotizzare che il fatto di vivere al di sopra di quanto dichiarato al fisco (rappresentato dalla presenza di uno scarto negativo) sia un indicatore abbastanza credibile di evasione fiscale. Inoltre, per testare la bontà dell’indicatore di benessere creato, osserveremo il grado di associazione di questo indicatore con alcuni che la letteratura ha sottolineato essere correlati con il livello di evasione a livello territoriale.</w:t>
      </w:r>
    </w:p>
    <w:p w:rsidR="002F1C54" w:rsidRDefault="002F1C54" w:rsidP="002F1C54">
      <w:pPr>
        <w:spacing w:line="360" w:lineRule="auto"/>
        <w:jc w:val="both"/>
      </w:pPr>
    </w:p>
    <w:p w:rsidR="002F1C54" w:rsidRDefault="002F1C54" w:rsidP="002F1C54">
      <w:pPr>
        <w:spacing w:line="360" w:lineRule="auto"/>
        <w:jc w:val="both"/>
      </w:pPr>
      <w:r>
        <w:t>Nella prima parte dello studio, analizzeremo il fenomeno a livello provinciale focalizzandosi sulle province della regione Lombardia. Successivamente, il medesimo studio verrà proposto anche a livello comunale con riferimento ai principali comuni della provincia di Bergamo. Purtroppo, non è stato possibile definire un indicatore di benessere economico misurato da indicatori identici per tutti i livelli territoriali considerati. Infatti, la ricchezza di informazioni varia, anche se in modo contenuto tra l’analisi a livello provinciale e quella a livello comunale.</w:t>
      </w:r>
    </w:p>
    <w:p w:rsidR="002F1C54" w:rsidRDefault="002F1C54" w:rsidP="002F1C54">
      <w:pPr>
        <w:spacing w:line="360" w:lineRule="auto"/>
        <w:jc w:val="both"/>
      </w:pPr>
      <w:r>
        <w:t xml:space="preserve">Per quanto riguarda l’indicatore di ricchezza dichiarata (indicatore comune sia a livello provinciale che comunale), è stato fatto riferimento al valore del reddito Irpef fornito dal Ministero dell’Economia e della Finanza a livello comunale. La scelta di questo indicatore è dettata dalla volontà di usare un dato che definisca la ricchezza dichiarata dai cittadini di un territorio e che risenta nelle stime della presenza del fenomeno dell’evasione fiscale. Per quanto concerne, invece, il dato relativo al benessere reale del territorio è stato fatto uso di diversi indicatori. Prima di esplicitare le procedure utilizzate per creare un indicatore sintetico a partire da questi, verranno definiti brevemente gli indicatori utilizzati. Inoltre, altro aspetto necessario da sottolineare concerne l’anno di riferimento dei dati utilizzati. Nonostante, siano già disponibili dati più aggiornati per quanto concerne diversi degli indicatori, per coerenza con il dato dell’Irpef a disposizione solo fino al 2010, per tutti gli ambiti è stato fatto uso al massimo del dato relativo al 2010. </w:t>
      </w:r>
    </w:p>
    <w:p w:rsidR="002F1C54" w:rsidRDefault="002F1C54" w:rsidP="002F1C54">
      <w:pPr>
        <w:spacing w:line="360" w:lineRule="auto"/>
        <w:jc w:val="both"/>
      </w:pPr>
    </w:p>
    <w:p w:rsidR="002F1C54" w:rsidRDefault="002F1C54" w:rsidP="002F1C54">
      <w:pPr>
        <w:pStyle w:val="Titolo1"/>
        <w:spacing w:before="0"/>
      </w:pPr>
      <w:bookmarkStart w:id="13" w:name="_Toc359506061"/>
      <w:r w:rsidRPr="00ED39F8">
        <w:t>L’indicatore di benessere a livello provinciale</w:t>
      </w:r>
      <w:bookmarkEnd w:id="13"/>
    </w:p>
    <w:p w:rsidR="002F1C54" w:rsidRDefault="002F1C54" w:rsidP="002F1C54">
      <w:pPr>
        <w:spacing w:line="360" w:lineRule="auto"/>
        <w:jc w:val="both"/>
      </w:pPr>
    </w:p>
    <w:p w:rsidR="002F1C54" w:rsidRDefault="002F1C54" w:rsidP="002F1C54">
      <w:pPr>
        <w:spacing w:line="360" w:lineRule="auto"/>
        <w:jc w:val="both"/>
        <w:rPr>
          <w:color w:val="000000"/>
        </w:rPr>
      </w:pPr>
      <w:r>
        <w:t xml:space="preserve">A livello provinciale, sono stati utilizzati 10 indicatori di benessere individuale. In primo luogo, abbiamo fatto riferimento ai dati forniti dall’Istituto Tagliacarne per quanto concerne i consumi relativi al 2010, escludendo però il dato relativo ai consumi famigliari in quanto la letteratura ha mostrato essere. Altro dato utilizzato è quello fornito dalla Banca d’Italia per quanto concerne i depositi bancari in possesso dei cittadini residenti nell’area. Inoltre, per evitare che il dato possa risentire della presenza di spese improvvise che potrebbero aver ridotto momentaneamente il livello di benessere degli individui (distorcendo, quindi, il nostro risultato) abbiamo fatto uso del dato relativo ai depositi del 2009 e del 2010. </w:t>
      </w:r>
      <w:r>
        <w:rPr>
          <w:color w:val="000000"/>
        </w:rPr>
        <w:t xml:space="preserve">Per quanto concerne la stima dei consumi, al fine di </w:t>
      </w:r>
      <w:r>
        <w:rPr>
          <w:color w:val="000000"/>
        </w:rPr>
        <w:lastRenderedPageBreak/>
        <w:t>utilizzare anche un dato che non sia il prodotto di stime, ma sia reale, sebbene indiretto, è stato fatto uso del dato relativo ai rifiuti prodotti a livello comunale nell’anno 2009 e 2010. Relativamente al medesimo tema é stato utilizzato il dato relativo ai costi che a livello locale devono essere sostenuti per la gestione dello smaltimento dei rifiuti. Sempre per quanto concerne la stima dei consumi a livello provinciale é stato fatto uso del dato relativo ai consumi di gas e di benzina su rete stradale locale. É stato evitato il dato relativo ai consumi di benzina su rete extraurbana e autostradale in quanto non tutte le province ne sono dotate e soprattutto la probabilità che l’auto circolante non appartenga a soggetti residenti in quella provincia é molto più elevata. Altro indicatore utilizzato è quello relativo al numero di autovetture per provincia di immatricolazione. Inoltre, nel caso delle autovetture è stato inserito tra gli indicatori anche il dato relativo al possesso di auto di grossa cilindrata (al di sopra dei 2.500 cc) per definire la presenza dei beni di lusso a livello territoriale.</w:t>
      </w:r>
    </w:p>
    <w:p w:rsidR="002F1C54" w:rsidRDefault="002F1C54" w:rsidP="002F1C54">
      <w:pPr>
        <w:spacing w:line="360" w:lineRule="auto"/>
        <w:jc w:val="both"/>
        <w:rPr>
          <w:color w:val="000000"/>
        </w:rPr>
      </w:pPr>
      <w:r>
        <w:rPr>
          <w:color w:val="000000"/>
        </w:rPr>
        <w:t>Data l’importanza del settore immobiliare nel mercato italiano sono stati utilizzati due indicatori rivolti alla rilevazione di tale fenomeno. Il primo indicatore registra l’andamento del volume della compra-vendita degli immobili di tipo residenziale a livello provinciale, il secondo il dato relativo ai volumi della compra-vendita degli immobili di tipo commerciale e produttivo. Ultimo indicatore utilizzato al fine di calcolare anche se in modo indiretto il livello dei risparmi posseduti dai soggetti a livello provinciale é il dato relativo al livello medio dei depositi pro-capite.</w:t>
      </w:r>
    </w:p>
    <w:p w:rsidR="002F1C54" w:rsidRDefault="002F1C54" w:rsidP="002F1C54">
      <w:pPr>
        <w:spacing w:line="360" w:lineRule="auto"/>
        <w:jc w:val="both"/>
        <w:rPr>
          <w:color w:val="000000"/>
        </w:rPr>
      </w:pPr>
      <w:r>
        <w:rPr>
          <w:color w:val="000000"/>
        </w:rPr>
        <w:t xml:space="preserve">Tutti gli indicatori presenti, quando i dati lo permettevano, sono stati calcolati facendo una media tra il dato del 2009 e quello del 2010. Questo per evitare che il risultato fosse distorto da variazioni temporanee a livello territoriale. Inoltre, per rendere omogenei i risultati, i valori sono stati rapportati al numero di dichiaranti reddito IRPEF nel territorio. </w:t>
      </w:r>
    </w:p>
    <w:p w:rsidR="002F1C54" w:rsidRDefault="002F1C54" w:rsidP="002F1C54">
      <w:pPr>
        <w:spacing w:line="360" w:lineRule="auto"/>
        <w:jc w:val="both"/>
        <w:rPr>
          <w:color w:val="000000"/>
        </w:rPr>
      </w:pPr>
      <w:r>
        <w:rPr>
          <w:color w:val="000000"/>
        </w:rPr>
        <w:t>Tutte le variabili sono state standardizzate in modo che presentino la medesima media e la medesima varianza e, soprattutto, in modo che non risentano della differente unità di misura che rappresentano. Inoltre, per definire l’indicatore di benessere (prodotto di 10 item), è stata calcolata la media tra i diversi item all’interno del medesimo territorio. Grazie all’indicatore di rischio di evasione diventa possibile stimare il livello di evasione fiscale nelle singole realtà considerate senza dover ipotizzare che la propensione all’evasione sia omogenea tra le province o tra i comuni considerati.</w:t>
      </w:r>
    </w:p>
    <w:p w:rsidR="002F1C54" w:rsidRDefault="002F1C54" w:rsidP="002F1C54">
      <w:pPr>
        <w:spacing w:line="360" w:lineRule="auto"/>
        <w:jc w:val="both"/>
        <w:rPr>
          <w:color w:val="000000"/>
        </w:rPr>
      </w:pPr>
      <w:r>
        <w:rPr>
          <w:color w:val="000000"/>
        </w:rPr>
        <w:t xml:space="preserve"> Prima di mostrare i risultati relativi alla stima del rischio di evasione e la relativa classe di rischio é doveroso sottolineare un aspetto fondamentale per comprendere la natura del dato ottenuto. Il valore ottenuto relativo al rischio di evasione non può essere considerato come valido in sé, ma come il prodotto degli item presi in considerazione soprattutto per calcolare il livello dei consumi medi a livello territoriale. Questo significa che se un altro ricercatore faccesse uso di dati differenti potrebbe ottenere risultati differenti. Nel caso di questo studio é doveroso sottolineare come il </w:t>
      </w:r>
      <w:r>
        <w:rPr>
          <w:color w:val="000000"/>
        </w:rPr>
        <w:lastRenderedPageBreak/>
        <w:t>numero di aspetti presi in considerazione sia nettamente superiore agli altri studi condotti sul tema e soprattutto vada a coprire molte delle voci che compongono la spesa delle famiglie Lombarde.</w:t>
      </w:r>
    </w:p>
    <w:p w:rsidR="002F1C54" w:rsidRDefault="002F1C54" w:rsidP="002F1C54">
      <w:pPr>
        <w:spacing w:line="360" w:lineRule="auto"/>
        <w:jc w:val="both"/>
        <w:rPr>
          <w:color w:val="000000"/>
        </w:rPr>
      </w:pPr>
    </w:p>
    <w:p w:rsidR="002F1C54" w:rsidRPr="00792B34" w:rsidRDefault="002F1C54" w:rsidP="002F1C54">
      <w:pPr>
        <w:jc w:val="both"/>
        <w:rPr>
          <w:rFonts w:ascii="Garamond" w:hAnsi="Garamond"/>
          <w:b/>
          <w:color w:val="000000"/>
          <w:sz w:val="20"/>
          <w:szCs w:val="20"/>
        </w:rPr>
      </w:pPr>
      <w:r w:rsidRPr="00792B34">
        <w:rPr>
          <w:rFonts w:ascii="Garamond" w:hAnsi="Garamond"/>
          <w:b/>
          <w:color w:val="000000"/>
          <w:sz w:val="20"/>
          <w:szCs w:val="20"/>
        </w:rPr>
        <w:t>Item che compongono l’indicatore di rischio di evasione</w:t>
      </w:r>
    </w:p>
    <w:tbl>
      <w:tblPr>
        <w:tblW w:w="9892" w:type="dxa"/>
        <w:tblInd w:w="-342" w:type="dxa"/>
        <w:tblLook w:val="04A0"/>
      </w:tblPr>
      <w:tblGrid>
        <w:gridCol w:w="1177"/>
        <w:gridCol w:w="2243"/>
        <w:gridCol w:w="2070"/>
        <w:gridCol w:w="2340"/>
        <w:gridCol w:w="2062"/>
      </w:tblGrid>
      <w:tr w:rsidR="002F1C54" w:rsidRPr="00203C81" w:rsidTr="00D73F13">
        <w:trPr>
          <w:trHeight w:val="270"/>
        </w:trPr>
        <w:tc>
          <w:tcPr>
            <w:tcW w:w="1177"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Provincia</w:t>
            </w:r>
          </w:p>
        </w:tc>
        <w:tc>
          <w:tcPr>
            <w:tcW w:w="2243"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dichiaranti IRPEF</w:t>
            </w:r>
          </w:p>
        </w:tc>
        <w:tc>
          <w:tcPr>
            <w:tcW w:w="2070"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Irpef/dichiaranti</w:t>
            </w:r>
          </w:p>
        </w:tc>
        <w:tc>
          <w:tcPr>
            <w:tcW w:w="2340"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Consumi/dichiaranti</w:t>
            </w:r>
          </w:p>
        </w:tc>
        <w:tc>
          <w:tcPr>
            <w:tcW w:w="2062" w:type="dxa"/>
            <w:tcBorders>
              <w:top w:val="single" w:sz="4" w:space="0" w:color="auto"/>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eastAsia="en-US"/>
              </w:rPr>
            </w:pPr>
            <w:r w:rsidRPr="00203C81">
              <w:rPr>
                <w:rFonts w:ascii="Garamond" w:hAnsi="Garamond" w:cs="Calibri"/>
                <w:b/>
                <w:bCs/>
                <w:color w:val="000000"/>
                <w:sz w:val="18"/>
                <w:szCs w:val="18"/>
                <w:lang w:eastAsia="en-US"/>
              </w:rPr>
              <w:t>C</w:t>
            </w:r>
            <w:r>
              <w:rPr>
                <w:rFonts w:ascii="Garamond" w:hAnsi="Garamond" w:cs="Calibri"/>
                <w:b/>
                <w:bCs/>
                <w:color w:val="000000"/>
                <w:sz w:val="18"/>
                <w:szCs w:val="18"/>
                <w:lang w:eastAsia="en-US"/>
              </w:rPr>
              <w:t>onsumo gas (m3 per dichiarante</w:t>
            </w:r>
            <w:r w:rsidRPr="00203C81">
              <w:rPr>
                <w:rFonts w:ascii="Garamond" w:hAnsi="Garamond" w:cs="Calibri"/>
                <w:b/>
                <w:bCs/>
                <w:color w:val="000000"/>
                <w:sz w:val="18"/>
                <w:szCs w:val="18"/>
                <w:lang w:eastAsia="en-US"/>
              </w:rPr>
              <w:t xml:space="preserve">)  </w:t>
            </w:r>
          </w:p>
        </w:tc>
      </w:tr>
      <w:tr w:rsidR="002F1C54" w:rsidRPr="00203C81" w:rsidTr="00D73F13">
        <w:trPr>
          <w:trHeight w:val="6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687275</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22573</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24839</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3711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102494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21802</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26893</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645</w:t>
            </w:r>
          </w:p>
        </w:tc>
      </w:tr>
      <w:tr w:rsidR="002F1C54" w:rsidRPr="00203C81" w:rsidTr="00D73F13">
        <w:trPr>
          <w:trHeight w:val="131"/>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240014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21944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21792</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25937</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612741</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23567</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22400</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5324</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213378</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22804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23148</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5384</w:t>
            </w:r>
          </w:p>
        </w:tc>
      </w:tr>
      <w:tr w:rsidR="002F1C54" w:rsidRPr="00203C81" w:rsidTr="00D73F13">
        <w:trPr>
          <w:trHeight w:val="86"/>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331616</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24364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23421</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4536</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503889</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24365</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23405</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5051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326684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23377</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21839</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12441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133204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23414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22539</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14595</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200362</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24992</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21265</w:t>
            </w:r>
          </w:p>
        </w:tc>
        <w:tc>
          <w:tcPr>
            <w:tcW w:w="206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4321</w:t>
            </w:r>
          </w:p>
        </w:tc>
      </w:tr>
      <w:tr w:rsidR="002F1C54" w:rsidRPr="00203C81" w:rsidTr="00D73F13">
        <w:trPr>
          <w:trHeight w:val="80"/>
        </w:trPr>
        <w:tc>
          <w:tcPr>
            <w:tcW w:w="1177" w:type="dxa"/>
            <w:tcBorders>
              <w:top w:val="nil"/>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2386195</w:t>
            </w:r>
          </w:p>
        </w:tc>
        <w:tc>
          <w:tcPr>
            <w:tcW w:w="2070"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28714</w:t>
            </w:r>
          </w:p>
        </w:tc>
        <w:tc>
          <w:tcPr>
            <w:tcW w:w="2340"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30469</w:t>
            </w:r>
          </w:p>
        </w:tc>
        <w:tc>
          <w:tcPr>
            <w:tcW w:w="206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4838</w:t>
            </w:r>
          </w:p>
        </w:tc>
      </w:tr>
      <w:tr w:rsidR="002F1C54" w:rsidRPr="00203C81" w:rsidTr="00D73F13">
        <w:trPr>
          <w:trHeight w:val="60"/>
        </w:trPr>
        <w:tc>
          <w:tcPr>
            <w:tcW w:w="1177" w:type="dxa"/>
            <w:tcBorders>
              <w:top w:val="nil"/>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 </w:t>
            </w:r>
          </w:p>
        </w:tc>
        <w:tc>
          <w:tcPr>
            <w:tcW w:w="2243"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eastAsia="en-US"/>
              </w:rPr>
            </w:pPr>
            <w:r>
              <w:rPr>
                <w:rFonts w:ascii="Garamond" w:hAnsi="Garamond" w:cs="Calibri"/>
                <w:b/>
                <w:bCs/>
                <w:color w:val="000000"/>
                <w:sz w:val="18"/>
                <w:szCs w:val="18"/>
                <w:lang w:eastAsia="en-US"/>
              </w:rPr>
              <w:t>Consumo benzina rete ordinaria (tonn. 1000 dich)</w:t>
            </w:r>
          </w:p>
        </w:tc>
        <w:tc>
          <w:tcPr>
            <w:tcW w:w="2070"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rifiuti/dichiaranti</w:t>
            </w:r>
            <w:r w:rsidRPr="00203C81">
              <w:rPr>
                <w:rFonts w:ascii="Garamond" w:hAnsi="Garamond" w:cs="Calibri"/>
                <w:b/>
                <w:bCs/>
                <w:color w:val="000000"/>
                <w:sz w:val="18"/>
                <w:szCs w:val="18"/>
                <w:lang w:val="en-US" w:eastAsia="en-US"/>
              </w:rPr>
              <w:t xml:space="preserve"> (tonn.)</w:t>
            </w:r>
          </w:p>
        </w:tc>
        <w:tc>
          <w:tcPr>
            <w:tcW w:w="2340"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eastAsia="en-US"/>
              </w:rPr>
            </w:pPr>
            <w:r>
              <w:rPr>
                <w:rFonts w:ascii="Garamond" w:hAnsi="Garamond" w:cs="Calibri"/>
                <w:b/>
                <w:bCs/>
                <w:color w:val="000000"/>
                <w:sz w:val="18"/>
                <w:szCs w:val="18"/>
                <w:lang w:eastAsia="en-US"/>
              </w:rPr>
              <w:t>Costo gestione rifiuti</w:t>
            </w:r>
            <w:r w:rsidRPr="00203C81">
              <w:rPr>
                <w:rFonts w:ascii="Garamond" w:hAnsi="Garamond" w:cs="Calibri"/>
                <w:b/>
                <w:bCs/>
                <w:color w:val="000000"/>
                <w:sz w:val="18"/>
                <w:szCs w:val="18"/>
                <w:lang w:eastAsia="en-US"/>
              </w:rPr>
              <w:t xml:space="preserve"> (</w:t>
            </w:r>
            <w:r>
              <w:rPr>
                <w:rFonts w:ascii="Garamond" w:hAnsi="Garamond" w:cs="Calibri"/>
                <w:b/>
                <w:bCs/>
                <w:color w:val="000000"/>
                <w:sz w:val="18"/>
                <w:szCs w:val="18"/>
                <w:lang w:eastAsia="en-US"/>
              </w:rPr>
              <w:t>euro per dichiarante</w:t>
            </w:r>
            <w:r w:rsidRPr="00203C81">
              <w:rPr>
                <w:rFonts w:ascii="Garamond" w:hAnsi="Garamond" w:cs="Calibri"/>
                <w:b/>
                <w:bCs/>
                <w:color w:val="000000"/>
                <w:sz w:val="18"/>
                <w:szCs w:val="18"/>
                <w:lang w:eastAsia="en-US"/>
              </w:rPr>
              <w:t>)</w:t>
            </w:r>
          </w:p>
        </w:tc>
        <w:tc>
          <w:tcPr>
            <w:tcW w:w="2062"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auto/dichiaranti</w:t>
            </w:r>
          </w:p>
        </w:tc>
      </w:tr>
      <w:tr w:rsidR="002F1C54" w:rsidRPr="00203C81" w:rsidTr="00D73F13">
        <w:trPr>
          <w:trHeight w:val="255"/>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307</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1.08</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201.9</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1.42</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324</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200.2</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1.46</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277</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0.95</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173.1</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1.39</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288</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0.80</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176.6</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1.36</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258</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0.85</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165.3</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1.25</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186.6</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1.42</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282</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177.0</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1.37</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259</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0.94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172.0</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1.29</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247</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0.77</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149.5</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0.79</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171.5</w:t>
            </w:r>
          </w:p>
        </w:tc>
        <w:tc>
          <w:tcPr>
            <w:tcW w:w="2062" w:type="dxa"/>
            <w:tcBorders>
              <w:top w:val="nil"/>
              <w:left w:val="nil"/>
              <w:bottom w:val="nil"/>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1.34</w:t>
            </w:r>
          </w:p>
        </w:tc>
      </w:tr>
      <w:tr w:rsidR="002F1C54" w:rsidRPr="00203C81" w:rsidTr="00D73F13">
        <w:trPr>
          <w:trHeight w:val="80"/>
        </w:trPr>
        <w:tc>
          <w:tcPr>
            <w:tcW w:w="1177" w:type="dxa"/>
            <w:tcBorders>
              <w:top w:val="nil"/>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259</w:t>
            </w:r>
          </w:p>
        </w:tc>
        <w:tc>
          <w:tcPr>
            <w:tcW w:w="2070"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180.5</w:t>
            </w:r>
          </w:p>
        </w:tc>
        <w:tc>
          <w:tcPr>
            <w:tcW w:w="2062"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1.22</w:t>
            </w:r>
          </w:p>
        </w:tc>
      </w:tr>
      <w:tr w:rsidR="002F1C54" w:rsidRPr="00203C81" w:rsidTr="00D73F13">
        <w:trPr>
          <w:trHeight w:val="270"/>
        </w:trPr>
        <w:tc>
          <w:tcPr>
            <w:tcW w:w="1177" w:type="dxa"/>
            <w:tcBorders>
              <w:top w:val="nil"/>
              <w:left w:val="nil"/>
              <w:bottom w:val="single" w:sz="8"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 </w:t>
            </w:r>
          </w:p>
        </w:tc>
        <w:tc>
          <w:tcPr>
            <w:tcW w:w="2243" w:type="dxa"/>
            <w:tcBorders>
              <w:top w:val="nil"/>
              <w:left w:val="nil"/>
              <w:bottom w:val="single" w:sz="8" w:space="0" w:color="auto"/>
              <w:right w:val="nil"/>
            </w:tcBorders>
            <w:shd w:val="clear" w:color="auto" w:fill="auto"/>
            <w:noWrap/>
            <w:vAlign w:val="bottom"/>
            <w:hideMark/>
          </w:tcPr>
          <w:p w:rsidR="002F1C54" w:rsidRPr="00203C81" w:rsidRDefault="002F1C54" w:rsidP="00D73F13">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Auto &gt; 2500 cc</w:t>
            </w:r>
            <w:r w:rsidRPr="00203C81">
              <w:rPr>
                <w:rFonts w:ascii="Garamond" w:hAnsi="Garamond" w:cs="Calibri"/>
                <w:b/>
                <w:bCs/>
                <w:color w:val="000000"/>
                <w:sz w:val="18"/>
                <w:szCs w:val="18"/>
                <w:lang w:val="en-US" w:eastAsia="en-US"/>
              </w:rPr>
              <w:t xml:space="preserve"> </w:t>
            </w:r>
          </w:p>
          <w:p w:rsidR="002F1C54" w:rsidRPr="00203C81" w:rsidRDefault="002F1C54" w:rsidP="00D73F13">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(1000 dichiaranti</w:t>
            </w:r>
            <w:r w:rsidRPr="00203C81">
              <w:rPr>
                <w:rFonts w:ascii="Garamond" w:hAnsi="Garamond" w:cs="Calibri"/>
                <w:b/>
                <w:bCs/>
                <w:color w:val="000000"/>
                <w:sz w:val="18"/>
                <w:szCs w:val="18"/>
                <w:lang w:val="en-US" w:eastAsia="en-US"/>
              </w:rPr>
              <w:t>)</w:t>
            </w:r>
          </w:p>
        </w:tc>
        <w:tc>
          <w:tcPr>
            <w:tcW w:w="2070" w:type="dxa"/>
            <w:tcBorders>
              <w:top w:val="nil"/>
              <w:left w:val="nil"/>
              <w:bottom w:val="single" w:sz="8" w:space="0" w:color="auto"/>
              <w:right w:val="nil"/>
            </w:tcBorders>
            <w:shd w:val="clear" w:color="auto" w:fill="auto"/>
            <w:noWrap/>
            <w:vAlign w:val="bottom"/>
            <w:hideMark/>
          </w:tcPr>
          <w:p w:rsidR="002F1C54" w:rsidRPr="00792B34" w:rsidRDefault="002F1C54" w:rsidP="00D73F13">
            <w:pPr>
              <w:jc w:val="center"/>
              <w:rPr>
                <w:rFonts w:ascii="Garamond" w:hAnsi="Garamond" w:cs="Calibri"/>
                <w:b/>
                <w:bCs/>
                <w:color w:val="000000"/>
                <w:sz w:val="18"/>
                <w:szCs w:val="18"/>
                <w:lang w:val="en-US" w:eastAsia="en-US"/>
              </w:rPr>
            </w:pPr>
            <w:r w:rsidRPr="00792B34">
              <w:rPr>
                <w:rFonts w:ascii="Garamond" w:hAnsi="Garamond" w:cs="Calibri"/>
                <w:b/>
                <w:bCs/>
                <w:color w:val="000000"/>
                <w:sz w:val="18"/>
                <w:szCs w:val="18"/>
                <w:lang w:val="en-US" w:eastAsia="en-US"/>
              </w:rPr>
              <w:t>compravendita residenziale (1000 dich.)</w:t>
            </w:r>
          </w:p>
        </w:tc>
        <w:tc>
          <w:tcPr>
            <w:tcW w:w="2340" w:type="dxa"/>
            <w:tcBorders>
              <w:top w:val="nil"/>
              <w:left w:val="nil"/>
              <w:bottom w:val="single" w:sz="8" w:space="0" w:color="auto"/>
              <w:right w:val="nil"/>
            </w:tcBorders>
            <w:shd w:val="clear" w:color="auto" w:fill="auto"/>
            <w:noWrap/>
            <w:vAlign w:val="bottom"/>
            <w:hideMark/>
          </w:tcPr>
          <w:p w:rsidR="002F1C54" w:rsidRPr="00792B34" w:rsidRDefault="002F1C54" w:rsidP="00D73F13">
            <w:pPr>
              <w:jc w:val="center"/>
              <w:rPr>
                <w:rFonts w:ascii="Garamond" w:hAnsi="Garamond" w:cs="Calibri"/>
                <w:b/>
                <w:bCs/>
                <w:color w:val="000000"/>
                <w:sz w:val="18"/>
                <w:szCs w:val="18"/>
                <w:lang w:eastAsia="en-US"/>
              </w:rPr>
            </w:pPr>
            <w:r w:rsidRPr="00792B34">
              <w:rPr>
                <w:rFonts w:ascii="Garamond" w:hAnsi="Garamond" w:cs="Calibri"/>
                <w:b/>
                <w:bCs/>
                <w:color w:val="000000"/>
                <w:sz w:val="18"/>
                <w:szCs w:val="18"/>
                <w:lang w:eastAsia="en-US"/>
              </w:rPr>
              <w:t>Compravendita commerc. e produt. (1000 dichiaranti)</w:t>
            </w:r>
          </w:p>
        </w:tc>
        <w:tc>
          <w:tcPr>
            <w:tcW w:w="2062" w:type="dxa"/>
            <w:tcBorders>
              <w:top w:val="nil"/>
              <w:left w:val="nil"/>
              <w:bottom w:val="single" w:sz="8" w:space="0" w:color="auto"/>
              <w:right w:val="nil"/>
            </w:tcBorders>
            <w:shd w:val="clear" w:color="auto" w:fill="auto"/>
            <w:noWrap/>
            <w:vAlign w:val="bottom"/>
            <w:hideMark/>
          </w:tcPr>
          <w:p w:rsidR="002F1C54" w:rsidRPr="00792B34" w:rsidRDefault="002F1C54" w:rsidP="00D73F13">
            <w:pPr>
              <w:jc w:val="center"/>
              <w:rPr>
                <w:rFonts w:ascii="Garamond" w:hAnsi="Garamond" w:cs="Calibri"/>
                <w:b/>
                <w:bCs/>
                <w:color w:val="000000"/>
                <w:sz w:val="18"/>
                <w:szCs w:val="18"/>
                <w:lang w:val="en-US" w:eastAsia="en-US"/>
              </w:rPr>
            </w:pPr>
            <w:r w:rsidRPr="00792B34">
              <w:rPr>
                <w:rFonts w:ascii="Garamond" w:hAnsi="Garamond" w:cs="Calibri"/>
                <w:b/>
                <w:bCs/>
                <w:color w:val="000000"/>
                <w:sz w:val="18"/>
                <w:szCs w:val="18"/>
                <w:lang w:val="en-US" w:eastAsia="en-US"/>
              </w:rPr>
              <w:t>depositi/dichiaranti</w:t>
            </w:r>
          </w:p>
        </w:tc>
      </w:tr>
      <w:tr w:rsidR="002F1C54" w:rsidRPr="00203C81" w:rsidTr="00D73F13">
        <w:trPr>
          <w:trHeight w:val="6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56.72</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5.15</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1.95</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29352</w:t>
            </w:r>
          </w:p>
        </w:tc>
      </w:tr>
      <w:tr w:rsidR="002F1C54" w:rsidRPr="00203C81" w:rsidTr="00D73F13">
        <w:trPr>
          <w:trHeight w:val="86"/>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43.91</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5.01</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1.02</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29660</w:t>
            </w:r>
          </w:p>
        </w:tc>
      </w:tr>
      <w:tr w:rsidR="002F1C54" w:rsidRPr="00203C81" w:rsidTr="00D73F13">
        <w:trPr>
          <w:trHeight w:val="95"/>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48.42</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4.28</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1.24</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22671</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47.07</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5.56</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1.83</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30271</w:t>
            </w:r>
          </w:p>
        </w:tc>
      </w:tr>
      <w:tr w:rsidR="002F1C54" w:rsidRPr="00203C81" w:rsidTr="00D73F13">
        <w:trPr>
          <w:trHeight w:val="131"/>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38.46</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4.65</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1.17</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22272</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42.81</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5.31</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1.43</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26648</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41.65</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5.25</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1.54</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25690</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35.09</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5.47</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1.25</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22799</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34.93</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5.46</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1.42</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22739</w:t>
            </w:r>
          </w:p>
        </w:tc>
      </w:tr>
      <w:tr w:rsidR="002F1C54" w:rsidRPr="00203C81" w:rsidTr="00D73F13">
        <w:trPr>
          <w:trHeight w:val="80"/>
        </w:trPr>
        <w:tc>
          <w:tcPr>
            <w:tcW w:w="1177" w:type="dxa"/>
            <w:tcBorders>
              <w:top w:val="nil"/>
              <w:left w:val="nil"/>
              <w:bottom w:val="nil"/>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40.33</w:t>
            </w:r>
          </w:p>
        </w:tc>
        <w:tc>
          <w:tcPr>
            <w:tcW w:w="207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5.02</w:t>
            </w:r>
          </w:p>
        </w:tc>
        <w:tc>
          <w:tcPr>
            <w:tcW w:w="2340"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1.47</w:t>
            </w:r>
          </w:p>
        </w:tc>
        <w:tc>
          <w:tcPr>
            <w:tcW w:w="2062" w:type="dxa"/>
            <w:tcBorders>
              <w:top w:val="nil"/>
              <w:left w:val="nil"/>
              <w:bottom w:val="nil"/>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28813</w:t>
            </w:r>
          </w:p>
        </w:tc>
      </w:tr>
      <w:tr w:rsidR="002F1C54" w:rsidRPr="00203C81" w:rsidTr="00D73F13">
        <w:trPr>
          <w:trHeight w:val="80"/>
        </w:trPr>
        <w:tc>
          <w:tcPr>
            <w:tcW w:w="1177" w:type="dxa"/>
            <w:tcBorders>
              <w:top w:val="nil"/>
              <w:left w:val="nil"/>
              <w:bottom w:val="single" w:sz="4" w:space="0" w:color="auto"/>
              <w:right w:val="nil"/>
            </w:tcBorders>
            <w:shd w:val="clear" w:color="auto" w:fill="auto"/>
            <w:noWrap/>
            <w:vAlign w:val="bottom"/>
            <w:hideMark/>
          </w:tcPr>
          <w:p w:rsidR="002F1C54" w:rsidRPr="00203C81" w:rsidRDefault="002F1C54" w:rsidP="00D73F13">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46.55</w:t>
            </w:r>
          </w:p>
        </w:tc>
        <w:tc>
          <w:tcPr>
            <w:tcW w:w="2070" w:type="dxa"/>
            <w:tcBorders>
              <w:top w:val="nil"/>
              <w:left w:val="nil"/>
              <w:bottom w:val="single" w:sz="4" w:space="0" w:color="auto"/>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5.49</w:t>
            </w:r>
          </w:p>
        </w:tc>
        <w:tc>
          <w:tcPr>
            <w:tcW w:w="2340" w:type="dxa"/>
            <w:tcBorders>
              <w:top w:val="nil"/>
              <w:left w:val="nil"/>
              <w:bottom w:val="single" w:sz="4" w:space="0" w:color="auto"/>
              <w:right w:val="nil"/>
            </w:tcBorders>
            <w:shd w:val="clear" w:color="auto" w:fill="auto"/>
            <w:noWrap/>
            <w:vAlign w:val="bottom"/>
            <w:hideMark/>
          </w:tcPr>
          <w:p w:rsidR="002F1C54" w:rsidRPr="00792B34" w:rsidRDefault="002F1C54" w:rsidP="00D73F13">
            <w:pPr>
              <w:jc w:val="center"/>
              <w:rPr>
                <w:rFonts w:ascii="Garamond" w:hAnsi="Garamond" w:cs="Arial"/>
                <w:sz w:val="18"/>
                <w:szCs w:val="18"/>
              </w:rPr>
            </w:pPr>
            <w:r w:rsidRPr="00792B34">
              <w:rPr>
                <w:rFonts w:ascii="Garamond" w:hAnsi="Garamond" w:cs="Arial"/>
                <w:sz w:val="18"/>
                <w:szCs w:val="18"/>
              </w:rPr>
              <w:t>1.84</w:t>
            </w:r>
          </w:p>
        </w:tc>
        <w:tc>
          <w:tcPr>
            <w:tcW w:w="2062" w:type="dxa"/>
            <w:tcBorders>
              <w:top w:val="nil"/>
              <w:left w:val="nil"/>
              <w:bottom w:val="single" w:sz="4" w:space="0" w:color="auto"/>
              <w:right w:val="nil"/>
            </w:tcBorders>
            <w:shd w:val="clear" w:color="auto" w:fill="auto"/>
            <w:noWrap/>
            <w:vAlign w:val="bottom"/>
            <w:hideMark/>
          </w:tcPr>
          <w:p w:rsidR="002F1C54" w:rsidRPr="00792B34" w:rsidRDefault="002F1C54" w:rsidP="00D73F13">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57109</w:t>
            </w:r>
          </w:p>
        </w:tc>
      </w:tr>
    </w:tbl>
    <w:p w:rsidR="002F1C54" w:rsidRDefault="002F1C54" w:rsidP="002F1C54">
      <w:pPr>
        <w:spacing w:line="360" w:lineRule="auto"/>
        <w:jc w:val="both"/>
        <w:rPr>
          <w:color w:val="000000"/>
        </w:rPr>
      </w:pP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 xml:space="preserve">La tabella sottostante mostra i valori ottenuti per quanto concerne il rischio di evasione. Le stime rilevano come la maggiore propensione all’evasione risulti interessare la provincia di Brescia e con valori molto simili la provincia di Sondrio. Osservando il dato prodotto é possibile notare come siano quattro le realtà maggiormente interessate dal fenomeno, almeno in termini comparati. </w:t>
      </w:r>
    </w:p>
    <w:p w:rsidR="002F1C54" w:rsidRDefault="002F1C54" w:rsidP="002F1C54">
      <w:pPr>
        <w:spacing w:line="360" w:lineRule="auto"/>
        <w:jc w:val="both"/>
        <w:rPr>
          <w:color w:val="000000"/>
        </w:rPr>
      </w:pPr>
      <w:r>
        <w:rPr>
          <w:color w:val="000000"/>
        </w:rPr>
        <w:t xml:space="preserve">Oltre alle realtà già presentate, risultano caratterizzarsi per una significativa tendenza ad un livello dei consumi mediamente superiore al dato della ricchezza dichiarata anche la provincia di Mantova </w:t>
      </w:r>
      <w:r>
        <w:rPr>
          <w:color w:val="000000"/>
        </w:rPr>
        <w:lastRenderedPageBreak/>
        <w:t>e di Bergamo. In linea con il vincolo di bilancio del reddito dichiarato risultano essere invece le province di Pavia, Cremona, Como e Varese. Le province di Lecco e di Milano (ricomprendendo anche il dato di Monza, al 2009/2010 impossibile da distinguere dalla provincia di Milano) invece risultano essere le realtà territoriali caratterizzate da una propensione all’evasione molto contenuta almeno in termini di intensità, vale a dire rispetto alla ricchezza prodotta a livello locale.</w:t>
      </w:r>
    </w:p>
    <w:p w:rsidR="002F1C54" w:rsidRDefault="002F1C54" w:rsidP="002F1C54">
      <w:pPr>
        <w:spacing w:line="360" w:lineRule="auto"/>
        <w:jc w:val="both"/>
        <w:rPr>
          <w:color w:val="000000"/>
        </w:rPr>
      </w:pPr>
    </w:p>
    <w:p w:rsidR="002F1C54" w:rsidRPr="00DD3806" w:rsidRDefault="002F1C54" w:rsidP="002F1C54">
      <w:pPr>
        <w:jc w:val="both"/>
        <w:rPr>
          <w:rFonts w:ascii="Garamond" w:hAnsi="Garamond"/>
          <w:b/>
          <w:color w:val="000000"/>
          <w:sz w:val="20"/>
          <w:szCs w:val="20"/>
        </w:rPr>
      </w:pPr>
      <w:r>
        <w:rPr>
          <w:color w:val="000000"/>
        </w:rPr>
        <w:t xml:space="preserve">                        </w:t>
      </w:r>
      <w:r>
        <w:rPr>
          <w:rFonts w:ascii="Garamond" w:hAnsi="Garamond"/>
          <w:color w:val="000000"/>
          <w:sz w:val="20"/>
          <w:szCs w:val="20"/>
        </w:rPr>
        <w:t xml:space="preserve">  </w:t>
      </w:r>
      <w:r w:rsidRPr="00DD3806">
        <w:rPr>
          <w:rFonts w:ascii="Garamond" w:hAnsi="Garamond"/>
          <w:b/>
          <w:color w:val="000000"/>
          <w:sz w:val="20"/>
          <w:szCs w:val="20"/>
        </w:rPr>
        <w:t>Indice del rischio di evasione e classe di rischio</w:t>
      </w:r>
    </w:p>
    <w:tbl>
      <w:tblPr>
        <w:tblW w:w="6742" w:type="dxa"/>
        <w:jc w:val="center"/>
        <w:tblInd w:w="-432" w:type="dxa"/>
        <w:tblLook w:val="04A0"/>
      </w:tblPr>
      <w:tblGrid>
        <w:gridCol w:w="1980"/>
        <w:gridCol w:w="2422"/>
        <w:gridCol w:w="2340"/>
      </w:tblGrid>
      <w:tr w:rsidR="002F1C54" w:rsidRPr="00DD3806" w:rsidTr="00D73F13">
        <w:trPr>
          <w:trHeight w:val="70"/>
          <w:jc w:val="center"/>
        </w:trPr>
        <w:tc>
          <w:tcPr>
            <w:tcW w:w="1980" w:type="dxa"/>
            <w:tcBorders>
              <w:top w:val="single" w:sz="4" w:space="0" w:color="auto"/>
              <w:left w:val="nil"/>
              <w:bottom w:val="single" w:sz="8" w:space="0" w:color="auto"/>
              <w:right w:val="nil"/>
            </w:tcBorders>
            <w:shd w:val="clear" w:color="auto" w:fill="auto"/>
            <w:noWrap/>
            <w:vAlign w:val="bottom"/>
            <w:hideMark/>
          </w:tcPr>
          <w:p w:rsidR="002F1C54" w:rsidRPr="00DD3806" w:rsidRDefault="002F1C54" w:rsidP="00D73F13">
            <w:pPr>
              <w:rPr>
                <w:rFonts w:ascii="Garamond" w:hAnsi="Garamond" w:cs="Calibri"/>
                <w:b/>
                <w:bCs/>
                <w:color w:val="000000"/>
                <w:sz w:val="18"/>
                <w:szCs w:val="18"/>
                <w:lang w:val="en-US" w:eastAsia="en-US"/>
              </w:rPr>
            </w:pPr>
            <w:r w:rsidRPr="00DD3806">
              <w:rPr>
                <w:rFonts w:ascii="Garamond" w:hAnsi="Garamond" w:cs="Calibri"/>
                <w:b/>
                <w:bCs/>
                <w:color w:val="000000"/>
                <w:sz w:val="18"/>
                <w:szCs w:val="18"/>
                <w:lang w:val="en-US" w:eastAsia="en-US"/>
              </w:rPr>
              <w:t>Provincia</w:t>
            </w:r>
          </w:p>
        </w:tc>
        <w:tc>
          <w:tcPr>
            <w:tcW w:w="2422" w:type="dxa"/>
            <w:tcBorders>
              <w:top w:val="single" w:sz="4" w:space="0" w:color="auto"/>
              <w:left w:val="nil"/>
              <w:bottom w:val="single" w:sz="8" w:space="0" w:color="auto"/>
              <w:right w:val="nil"/>
            </w:tcBorders>
            <w:shd w:val="clear" w:color="auto" w:fill="auto"/>
            <w:noWrap/>
            <w:vAlign w:val="bottom"/>
            <w:hideMark/>
          </w:tcPr>
          <w:p w:rsidR="002F1C54" w:rsidRPr="00DD3806" w:rsidRDefault="002F1C54" w:rsidP="00D73F13">
            <w:pPr>
              <w:jc w:val="center"/>
              <w:rPr>
                <w:rFonts w:ascii="Garamond" w:hAnsi="Garamond" w:cs="Calibri"/>
                <w:b/>
                <w:bCs/>
                <w:color w:val="000000"/>
                <w:sz w:val="18"/>
                <w:szCs w:val="18"/>
                <w:lang w:eastAsia="en-US"/>
              </w:rPr>
            </w:pPr>
            <w:r w:rsidRPr="00DD3806">
              <w:rPr>
                <w:rFonts w:ascii="Garamond" w:hAnsi="Garamond" w:cs="Calibri"/>
                <w:b/>
                <w:bCs/>
                <w:color w:val="000000"/>
                <w:sz w:val="18"/>
                <w:szCs w:val="18"/>
                <w:lang w:eastAsia="en-US"/>
              </w:rPr>
              <w:t>Indice di Rischio di evasione</w:t>
            </w:r>
          </w:p>
        </w:tc>
        <w:tc>
          <w:tcPr>
            <w:tcW w:w="2340" w:type="dxa"/>
            <w:tcBorders>
              <w:top w:val="single" w:sz="4" w:space="0" w:color="auto"/>
              <w:left w:val="nil"/>
              <w:bottom w:val="single" w:sz="8" w:space="0" w:color="auto"/>
              <w:right w:val="nil"/>
            </w:tcBorders>
            <w:shd w:val="clear" w:color="auto" w:fill="auto"/>
            <w:noWrap/>
            <w:vAlign w:val="bottom"/>
            <w:hideMark/>
          </w:tcPr>
          <w:p w:rsidR="002F1C54" w:rsidRPr="00DD3806" w:rsidRDefault="002F1C54" w:rsidP="00D73F13">
            <w:pPr>
              <w:jc w:val="center"/>
              <w:rPr>
                <w:rFonts w:ascii="Garamond" w:hAnsi="Garamond" w:cs="Calibri"/>
                <w:b/>
                <w:bCs/>
                <w:color w:val="000000"/>
                <w:sz w:val="18"/>
                <w:szCs w:val="18"/>
                <w:lang w:val="en-US" w:eastAsia="en-US"/>
              </w:rPr>
            </w:pPr>
            <w:r w:rsidRPr="00DD3806">
              <w:rPr>
                <w:rFonts w:ascii="Garamond" w:hAnsi="Garamond" w:cs="Calibri"/>
                <w:b/>
                <w:bCs/>
                <w:color w:val="000000"/>
                <w:sz w:val="18"/>
                <w:szCs w:val="18"/>
                <w:lang w:val="en-US" w:eastAsia="en-US"/>
              </w:rPr>
              <w:t>Classe di rischio</w:t>
            </w:r>
          </w:p>
        </w:tc>
      </w:tr>
      <w:tr w:rsidR="002F1C54" w:rsidRPr="00203C81" w:rsidTr="00D73F13">
        <w:trPr>
          <w:trHeight w:val="6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Brescia</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-1.556</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Sondrio</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-1.544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w:t>
            </w:r>
          </w:p>
        </w:tc>
      </w:tr>
      <w:tr w:rsidR="002F1C54" w:rsidRPr="00203C81" w:rsidTr="00D73F13">
        <w:trPr>
          <w:trHeight w:val="131"/>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Mantova</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-1.080</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Bergamo</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-0.221</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3</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Pavia</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0.010</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w:t>
            </w:r>
          </w:p>
        </w:tc>
      </w:tr>
      <w:tr w:rsidR="002F1C54" w:rsidRPr="00203C81" w:rsidTr="00D73F13">
        <w:trPr>
          <w:trHeight w:val="86"/>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Cremona</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0.161</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Como</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0.194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Varese</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0.384</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4</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Lodi</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0.508</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w:t>
            </w:r>
          </w:p>
        </w:tc>
      </w:tr>
      <w:tr w:rsidR="002F1C54" w:rsidRPr="00203C81" w:rsidTr="00D73F13">
        <w:trPr>
          <w:trHeight w:val="80"/>
          <w:jc w:val="center"/>
        </w:trPr>
        <w:tc>
          <w:tcPr>
            <w:tcW w:w="1980" w:type="dxa"/>
            <w:tcBorders>
              <w:top w:val="nil"/>
              <w:left w:val="nil"/>
              <w:bottom w:val="nil"/>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sidRPr="00892B7F">
              <w:rPr>
                <w:rFonts w:ascii="Garamond" w:hAnsi="Garamond"/>
                <w:b/>
                <w:color w:val="000000"/>
                <w:sz w:val="20"/>
                <w:szCs w:val="20"/>
              </w:rPr>
              <w:t>Lecco</w:t>
            </w:r>
          </w:p>
        </w:tc>
        <w:tc>
          <w:tcPr>
            <w:tcW w:w="2422"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0.995</w:t>
            </w:r>
          </w:p>
        </w:tc>
        <w:tc>
          <w:tcPr>
            <w:tcW w:w="2340" w:type="dxa"/>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5</w:t>
            </w:r>
          </w:p>
        </w:tc>
      </w:tr>
      <w:tr w:rsidR="002F1C54" w:rsidRPr="00203C81" w:rsidTr="00D73F13">
        <w:trPr>
          <w:trHeight w:val="80"/>
          <w:jc w:val="center"/>
        </w:trPr>
        <w:tc>
          <w:tcPr>
            <w:tcW w:w="1980" w:type="dxa"/>
            <w:tcBorders>
              <w:top w:val="nil"/>
              <w:left w:val="nil"/>
              <w:bottom w:val="single" w:sz="8" w:space="0" w:color="auto"/>
              <w:right w:val="nil"/>
            </w:tcBorders>
            <w:shd w:val="clear" w:color="auto" w:fill="auto"/>
            <w:noWrap/>
            <w:vAlign w:val="bottom"/>
            <w:hideMark/>
          </w:tcPr>
          <w:p w:rsidR="002F1C54" w:rsidRPr="00892B7F" w:rsidRDefault="002F1C54" w:rsidP="00D73F13">
            <w:pPr>
              <w:rPr>
                <w:rFonts w:ascii="Garamond" w:hAnsi="Garamond"/>
                <w:b/>
                <w:color w:val="000000"/>
                <w:sz w:val="20"/>
                <w:szCs w:val="20"/>
              </w:rPr>
            </w:pPr>
            <w:r>
              <w:rPr>
                <w:rFonts w:ascii="Garamond" w:hAnsi="Garamond"/>
                <w:b/>
                <w:color w:val="000000"/>
                <w:sz w:val="20"/>
                <w:szCs w:val="20"/>
              </w:rPr>
              <w:t>Milano e Brianza</w:t>
            </w:r>
          </w:p>
        </w:tc>
        <w:tc>
          <w:tcPr>
            <w:tcW w:w="2422"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2.149</w:t>
            </w:r>
          </w:p>
        </w:tc>
        <w:tc>
          <w:tcPr>
            <w:tcW w:w="2340" w:type="dxa"/>
            <w:tcBorders>
              <w:top w:val="nil"/>
              <w:left w:val="nil"/>
              <w:bottom w:val="single" w:sz="8" w:space="0" w:color="auto"/>
              <w:right w:val="nil"/>
            </w:tcBorders>
            <w:shd w:val="clear" w:color="auto" w:fill="auto"/>
            <w:noWrap/>
            <w:vAlign w:val="bottom"/>
            <w:hideMark/>
          </w:tcPr>
          <w:p w:rsidR="002F1C54" w:rsidRDefault="002F1C54" w:rsidP="00D73F13">
            <w:pPr>
              <w:jc w:val="center"/>
              <w:rPr>
                <w:rFonts w:ascii="Garamond" w:hAnsi="Garamond"/>
                <w:color w:val="000000"/>
                <w:sz w:val="20"/>
                <w:szCs w:val="20"/>
              </w:rPr>
            </w:pPr>
            <w:r>
              <w:rPr>
                <w:rFonts w:ascii="Garamond" w:hAnsi="Garamond"/>
                <w:color w:val="000000"/>
                <w:sz w:val="20"/>
                <w:szCs w:val="20"/>
              </w:rPr>
              <w:t>6</w:t>
            </w:r>
          </w:p>
        </w:tc>
      </w:tr>
    </w:tbl>
    <w:p w:rsidR="002F1C54" w:rsidRDefault="002F1C54" w:rsidP="002F1C54">
      <w:pPr>
        <w:spacing w:line="360" w:lineRule="auto"/>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Per poter valutare la correttezza del dato é necessario però testare la bontà dell’indicatore prodotto. Nel nostro caso, il rischio di evasione sarà posto in relazione con la presenza a livello locale dei fattori che la letteratura ha individuato essere strettamente correlati con la propensione all’evasione.</w:t>
      </w:r>
    </w:p>
    <w:p w:rsidR="002F1C54" w:rsidRDefault="002F1C54" w:rsidP="002F1C54">
      <w:pPr>
        <w:spacing w:line="360" w:lineRule="auto"/>
        <w:jc w:val="both"/>
        <w:rPr>
          <w:color w:val="000000"/>
        </w:rPr>
      </w:pPr>
      <w:r>
        <w:rPr>
          <w:color w:val="000000"/>
        </w:rPr>
        <w:t xml:space="preserve">Come si può osservare dalla figura sottostante, l’indicatore prodotto risulta essere fortemente correlato con la diffusione sul territorio dei settori economici rilevati essere maggiormente caratterizzati dalla presenza di economia sommersa e evasione: il settore agricolo, edilizio e alberghiero. Infatti, al crescere della presenza sul territorio di questi settori, il dato del rischio di evasione diventa sempre più negativo (indice di maggiore tendenza ad evadere). Da notare come la provincia di Brescia tenda a comportarsi (anche se in modo lieve, dato il livello elevato dell’R quadrato che rileva il grado di associazione esistente tra i due fenomeni presi in considerazione) da “outlier”, vale a dire da caso predetto solamente in modo limitato dal modello. Infatti, eliminando tale caso, é possibile osservare come il valore dell’R-quadrato salga a livelli prossimi a 0,8 (valore molto elevato considerando che il valore massimo che può raggiungere é uno). </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jc w:val="center"/>
        <w:rPr>
          <w:color w:val="000000"/>
        </w:rPr>
      </w:pPr>
      <w:r w:rsidRPr="00FE068D">
        <w:rPr>
          <w:noProof/>
          <w:color w:val="000000"/>
        </w:rPr>
        <w:lastRenderedPageBreak/>
        <w:drawing>
          <wp:inline distT="0" distB="0" distL="0" distR="0">
            <wp:extent cx="5286375" cy="3333750"/>
            <wp:effectExtent l="19050" t="0" r="9525"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1C54" w:rsidRDefault="002F1C54" w:rsidP="002F1C54">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Pr="006950FA" w:rsidRDefault="002F1C54" w:rsidP="002F1C54">
      <w:pPr>
        <w:jc w:val="center"/>
        <w:rPr>
          <w:b/>
          <w:color w:val="000000"/>
        </w:rPr>
      </w:pPr>
      <w:r w:rsidRPr="006D5742">
        <w:rPr>
          <w:b/>
          <w:noProof/>
          <w:color w:val="000000"/>
        </w:rPr>
        <w:drawing>
          <wp:inline distT="0" distB="0" distL="0" distR="0">
            <wp:extent cx="5286375" cy="3467100"/>
            <wp:effectExtent l="19050" t="0" r="9525" b="0"/>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1C54" w:rsidRDefault="002F1C54" w:rsidP="002F1C54">
      <w:pPr>
        <w:jc w:val="both"/>
        <w:rPr>
          <w:color w:val="000000"/>
        </w:rPr>
      </w:pPr>
      <w:r w:rsidRPr="006950FA">
        <w:rPr>
          <w:b/>
          <w:color w:val="000000"/>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 xml:space="preserve">Lo stesso aspetto si rileva per quanto concerne il livello di associazione esistente tra il risultato rilevato del rischio di evasione e la diffusione a livello territoriale di piccole e piccolissime imprese e delle ditte artigiane. Infatti, escludendo il caso della provincia di Brescia, la relazione esistente tra </w:t>
      </w:r>
      <w:r>
        <w:rPr>
          <w:color w:val="000000"/>
        </w:rPr>
        <w:lastRenderedPageBreak/>
        <w:t>questi due fenomeni conferma nettamente l’andamento rilevato dalla letteratura: all’aumentare della diffusione delle ditte artigtiane e delle ditte di piccole e piccolissime dimensioni la propensione media provinciale all’evasione tende ad essere superiore.</w:t>
      </w:r>
    </w:p>
    <w:p w:rsidR="002F1C54" w:rsidRDefault="002F1C54" w:rsidP="002F1C54">
      <w:pPr>
        <w:spacing w:line="360" w:lineRule="auto"/>
        <w:jc w:val="both"/>
        <w:rPr>
          <w:color w:val="000000"/>
        </w:rPr>
      </w:pPr>
    </w:p>
    <w:p w:rsidR="002F1C54" w:rsidRDefault="002F1C54" w:rsidP="002F1C54">
      <w:pPr>
        <w:jc w:val="center"/>
        <w:rPr>
          <w:color w:val="000000"/>
        </w:rPr>
      </w:pPr>
      <w:r w:rsidRPr="006D5742">
        <w:rPr>
          <w:noProof/>
          <w:color w:val="000000"/>
        </w:rPr>
        <w:drawing>
          <wp:inline distT="0" distB="0" distL="0" distR="0">
            <wp:extent cx="5315585" cy="3190875"/>
            <wp:effectExtent l="19050" t="0" r="18415"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1C54" w:rsidRDefault="002F1C54" w:rsidP="002F1C54">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Conferma alla letteratura relativa al tema dell’evasione e dell’economia sommersa viene anche dalla figura che pone in relazione la diffusione sul territorio dei piccoli esercizi di vicinato e la tendenza all’evasione fiscale (R quadrato pari a 0,67). In questo caso, é la provincia di Milano a mostrare un andamento diverso da quello predetto dal modello con una presenza di esercizi di vicinato molto superiore a quella che ci si dovrebbe aspettare data la tendenza all’evasione. Per questo motivo il dato di Milano non é stato considerato in questa figura.</w:t>
      </w:r>
    </w:p>
    <w:p w:rsidR="002F1C54" w:rsidRDefault="002F1C54" w:rsidP="002F1C54">
      <w:pPr>
        <w:spacing w:line="360" w:lineRule="auto"/>
        <w:jc w:val="both"/>
        <w:rPr>
          <w:color w:val="000000"/>
        </w:rPr>
      </w:pPr>
    </w:p>
    <w:p w:rsidR="002F1C54" w:rsidRPr="00892B7F" w:rsidRDefault="002F1C54" w:rsidP="002F1C54">
      <w:pPr>
        <w:jc w:val="center"/>
        <w:rPr>
          <w:rFonts w:ascii="Garamond" w:hAnsi="Garamond"/>
          <w:b/>
          <w:color w:val="000000"/>
          <w:sz w:val="20"/>
          <w:szCs w:val="20"/>
        </w:rPr>
      </w:pPr>
      <w:r w:rsidRPr="00892B7F">
        <w:rPr>
          <w:rFonts w:ascii="Garamond" w:hAnsi="Garamond"/>
          <w:b/>
          <w:noProof/>
          <w:color w:val="000000"/>
          <w:sz w:val="20"/>
          <w:szCs w:val="20"/>
        </w:rPr>
        <w:lastRenderedPageBreak/>
        <w:drawing>
          <wp:inline distT="0" distB="0" distL="0" distR="0">
            <wp:extent cx="5315585" cy="3152775"/>
            <wp:effectExtent l="19050" t="0" r="18415" b="0"/>
            <wp:docPr id="1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1C54" w:rsidRDefault="002F1C54" w:rsidP="002F1C54">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Nella fase successiva verrà mostrato il valore medio del rischio di evasione all’interno di ogni cluster individuato nella prima sezione dello studio. In questo modo, oltre ad una ulteriore conferma della bontà dell’indicatore creato sarà possibile valutare l’efficacia dell’algoritmo utilizzato per individuare i diversi cluster (gruppi) presenti nella regione Lombardia. Per quanto concerne l’informazione relativa alle province presenti nei vari cluster rimandiamo alla sezione iniziale dedicata alle caratteristiche del sistema economico regionale. Anche in questo caso, dato il comportamento poco in linea con il modello prodotto, la provincia di Brescia non sarà inserita nelle analisi. In realtà, la presenza della provincia di Brescia nelle analisi sottostanti non mina la validità dell’indicatore creato (come già dimostrato dal valore dell’R-quadrato), ma semplicemente riduce le differenze esistenti tra i vari cluster. La decisione di escludere questo dato, quindi, ha solo la funzione di rendere più evidente la bontà dell’indicatore prodotto, omettendo l’unico dato che risulta comportarsi come un “outlier”.</w:t>
      </w:r>
    </w:p>
    <w:p w:rsidR="002F1C54" w:rsidRDefault="002F1C54" w:rsidP="002F1C54">
      <w:pPr>
        <w:spacing w:line="360" w:lineRule="auto"/>
        <w:jc w:val="both"/>
        <w:rPr>
          <w:color w:val="000000"/>
        </w:rPr>
      </w:pPr>
      <w:r>
        <w:rPr>
          <w:color w:val="000000"/>
        </w:rPr>
        <w:t xml:space="preserve">Per quanto concerne la diffusione di piccole e piccolissime imprese e attività economiche sul territorio, l’algoritmo utilizzato tende a raggruppare le province lombarde in tre gruppi (il terzo formato dalla sola provincia di Milano). In base al risultato é possibile ipotizzare che il rischio di evasione più limitato sia presente nel terzo gruppo, seguito dal valore del primo e infine dal dato del secondo gruppo (quello maggiormente caratterizzato dalla presenza di piccole e piccolissime imprese). </w:t>
      </w:r>
    </w:p>
    <w:p w:rsidR="002F1C54" w:rsidRDefault="002F1C54" w:rsidP="002F1C54">
      <w:pPr>
        <w:spacing w:line="360" w:lineRule="auto"/>
        <w:jc w:val="both"/>
      </w:pPr>
    </w:p>
    <w:p w:rsidR="002F1C54" w:rsidRPr="001E37BD" w:rsidRDefault="002F1C54" w:rsidP="002F1C54">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2F1C54" w:rsidRPr="00E81991" w:rsidTr="00D73F13">
        <w:trPr>
          <w:trHeight w:val="270"/>
        </w:trPr>
        <w:tc>
          <w:tcPr>
            <w:tcW w:w="5700" w:type="dxa"/>
            <w:gridSpan w:val="4"/>
            <w:tcBorders>
              <w:top w:val="nil"/>
              <w:left w:val="nil"/>
              <w:bottom w:val="single" w:sz="8" w:space="0" w:color="auto"/>
              <w:right w:val="nil"/>
            </w:tcBorders>
            <w:shd w:val="clear" w:color="auto" w:fill="auto"/>
            <w:noWrap/>
            <w:vAlign w:val="bottom"/>
            <w:hideMark/>
          </w:tcPr>
          <w:p w:rsidR="002F1C54" w:rsidRPr="00E81991" w:rsidRDefault="002F1C54" w:rsidP="00D73F13">
            <w:pPr>
              <w:rPr>
                <w:rFonts w:ascii="Garamond" w:hAnsi="Garamond"/>
                <w:b/>
                <w:bCs/>
                <w:color w:val="000000"/>
                <w:sz w:val="20"/>
                <w:szCs w:val="20"/>
                <w:lang w:eastAsia="en-US"/>
              </w:rPr>
            </w:pPr>
            <w:r w:rsidRPr="00E81991">
              <w:rPr>
                <w:rFonts w:ascii="Garamond" w:hAnsi="Garamond"/>
                <w:b/>
                <w:bCs/>
                <w:color w:val="000000"/>
                <w:sz w:val="20"/>
                <w:szCs w:val="20"/>
                <w:lang w:eastAsia="en-US"/>
              </w:rPr>
              <w:lastRenderedPageBreak/>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2F1C54" w:rsidRPr="00E81991" w:rsidTr="00D73F13">
        <w:trPr>
          <w:trHeight w:val="60"/>
        </w:trPr>
        <w:tc>
          <w:tcPr>
            <w:tcW w:w="1365"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Esercizi di vicinato</w:t>
            </w:r>
          </w:p>
        </w:tc>
      </w:tr>
      <w:tr w:rsidR="002F1C54" w:rsidRPr="00E81991" w:rsidTr="00D73F13">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8,6</w:t>
            </w:r>
          </w:p>
        </w:tc>
      </w:tr>
      <w:tr w:rsidR="002F1C54" w:rsidRPr="00E81991" w:rsidTr="00D73F13">
        <w:trPr>
          <w:trHeight w:val="6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0,9</w:t>
            </w:r>
          </w:p>
        </w:tc>
      </w:tr>
      <w:tr w:rsidR="002F1C54" w:rsidRPr="00E81991" w:rsidTr="00D73F13">
        <w:trPr>
          <w:trHeight w:val="120"/>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10,2</w:t>
            </w:r>
          </w:p>
        </w:tc>
      </w:tr>
      <w:tr w:rsidR="002F1C54" w:rsidRPr="00E81991" w:rsidTr="00D73F13">
        <w:trPr>
          <w:trHeight w:val="6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r>
      <w:tr w:rsidR="002F1C54" w:rsidRPr="00E81991" w:rsidTr="00D73F13">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9,1</w:t>
            </w:r>
          </w:p>
        </w:tc>
      </w:tr>
      <w:tr w:rsidR="002F1C54" w:rsidRPr="00E81991" w:rsidTr="00D73F13">
        <w:trPr>
          <w:trHeight w:val="6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r>
      <w:tr w:rsidR="002F1C54" w:rsidRPr="00E81991" w:rsidTr="00D73F13">
        <w:trPr>
          <w:trHeight w:val="60"/>
        </w:trPr>
        <w:tc>
          <w:tcPr>
            <w:tcW w:w="5700" w:type="dxa"/>
            <w:gridSpan w:val="4"/>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r>
    </w:tbl>
    <w:p w:rsidR="002F1C54" w:rsidRDefault="002F1C54" w:rsidP="002F1C54">
      <w:pPr>
        <w:spacing w:line="360" w:lineRule="auto"/>
        <w:jc w:val="both"/>
        <w:rPr>
          <w:b/>
        </w:rPr>
      </w:pPr>
    </w:p>
    <w:p w:rsidR="002F1C54" w:rsidRDefault="002F1C54" w:rsidP="002F1C54">
      <w:pPr>
        <w:spacing w:line="360" w:lineRule="auto"/>
        <w:jc w:val="both"/>
        <w:rPr>
          <w:color w:val="000000"/>
        </w:rPr>
      </w:pPr>
      <w:r>
        <w:rPr>
          <w:color w:val="000000"/>
        </w:rPr>
        <w:t>Confermando quanto ipotizzato, é possibile osservare come il dato più contenuto relativamente al rischio di evasione sia il valore registrato all’interno del terzo cluster (2,149), seguito dal dato riconducibile al primo (0,338) e per concludere il valore medio relativo al secondo gruppo (-0,389). Inoltre, la presenza di valori della deviazione standard contenuti sottolinea il livello di omogeneità dei dati presenti in ogni gruppo.</w:t>
      </w:r>
    </w:p>
    <w:p w:rsidR="002F1C54" w:rsidRDefault="002F1C54" w:rsidP="002F1C54">
      <w:pPr>
        <w:spacing w:line="360" w:lineRule="auto"/>
        <w:jc w:val="both"/>
        <w:rPr>
          <w:color w:val="000000"/>
        </w:rPr>
      </w:pPr>
    </w:p>
    <w:p w:rsidR="002F1C54" w:rsidRPr="00FB4D0F" w:rsidRDefault="002F1C54" w:rsidP="002F1C54">
      <w:pPr>
        <w:jc w:val="both"/>
        <w:rPr>
          <w:rFonts w:ascii="Garamond" w:hAnsi="Garamond"/>
          <w:b/>
          <w:color w:val="000000"/>
          <w:sz w:val="20"/>
          <w:szCs w:val="20"/>
        </w:rPr>
      </w:pPr>
      <w:r>
        <w:rPr>
          <w:color w:val="000000"/>
        </w:rPr>
        <w:t xml:space="preserve">                        </w:t>
      </w:r>
      <w:r w:rsidRPr="00FB4D0F">
        <w:rPr>
          <w:rFonts w:ascii="Garamond" w:hAnsi="Garamond"/>
          <w:b/>
          <w:color w:val="000000"/>
          <w:sz w:val="20"/>
          <w:szCs w:val="20"/>
        </w:rPr>
        <w:t>Rischio di evasione medio per cluster</w:t>
      </w:r>
    </w:p>
    <w:tbl>
      <w:tblPr>
        <w:tblW w:w="6476" w:type="dxa"/>
        <w:jc w:val="center"/>
        <w:tblInd w:w="-252" w:type="dxa"/>
        <w:tblLook w:val="04A0"/>
      </w:tblPr>
      <w:tblGrid>
        <w:gridCol w:w="1800"/>
        <w:gridCol w:w="1616"/>
        <w:gridCol w:w="1714"/>
        <w:gridCol w:w="1346"/>
      </w:tblGrid>
      <w:tr w:rsidR="002F1C54" w:rsidRPr="00E81991" w:rsidTr="00D73F13">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Rischio di evasione</w:t>
            </w:r>
          </w:p>
        </w:tc>
      </w:tr>
      <w:tr w:rsidR="002F1C54" w:rsidRPr="00E81991" w:rsidTr="00D73F13">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0,338</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0,505</w:t>
            </w:r>
          </w:p>
        </w:tc>
      </w:tr>
      <w:tr w:rsidR="002F1C54" w:rsidRPr="00E81991" w:rsidTr="00D73F13">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-0,389</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0,877</w:t>
            </w:r>
          </w:p>
        </w:tc>
      </w:tr>
      <w:tr w:rsidR="002F1C54" w:rsidRPr="00E81991" w:rsidTr="00D73F13">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2,149</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w:t>
            </w:r>
          </w:p>
        </w:tc>
      </w:tr>
      <w:tr w:rsidR="002F1C54" w:rsidRPr="00E81991" w:rsidTr="00D73F13">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r>
    </w:tbl>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r>
        <w:rPr>
          <w:color w:val="000000"/>
        </w:rPr>
        <w:t>Per quanto concerne la presenza dei settori a maggiore rischio di evasione, é possibile ipotizzare che i livelli più elevati di rischio di evasione si osservino in maniera crescente passando dal primo al terzo cluster individuato dall’algoritmo.</w:t>
      </w:r>
    </w:p>
    <w:p w:rsidR="002F1C54" w:rsidRPr="00306EF2" w:rsidRDefault="002F1C54" w:rsidP="002F1C54">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2F1C54" w:rsidRPr="00E81991" w:rsidTr="00D73F13">
        <w:trPr>
          <w:trHeight w:val="270"/>
        </w:trPr>
        <w:tc>
          <w:tcPr>
            <w:tcW w:w="5700" w:type="dxa"/>
            <w:gridSpan w:val="4"/>
            <w:tcBorders>
              <w:top w:val="nil"/>
              <w:left w:val="nil"/>
              <w:bottom w:val="single" w:sz="8" w:space="0" w:color="auto"/>
              <w:right w:val="nil"/>
            </w:tcBorders>
            <w:shd w:val="clear" w:color="auto" w:fill="auto"/>
            <w:noWrap/>
            <w:vAlign w:val="bottom"/>
            <w:hideMark/>
          </w:tcPr>
          <w:p w:rsidR="002F1C54" w:rsidRPr="00E81991" w:rsidRDefault="002F1C54" w:rsidP="00D73F13">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2F1C54" w:rsidRPr="00E81991" w:rsidTr="00D73F13">
        <w:trPr>
          <w:trHeight w:val="60"/>
        </w:trPr>
        <w:tc>
          <w:tcPr>
            <w:tcW w:w="1365"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Alberghiero</w:t>
            </w:r>
          </w:p>
        </w:tc>
      </w:tr>
      <w:tr w:rsidR="002F1C54" w:rsidRPr="00E81991" w:rsidTr="00D73F13">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6,1</w:t>
            </w:r>
          </w:p>
        </w:tc>
      </w:tr>
      <w:tr w:rsidR="002F1C54" w:rsidRPr="00E81991" w:rsidTr="00D73F13">
        <w:trPr>
          <w:trHeight w:val="27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r>
      <w:tr w:rsidR="002F1C54" w:rsidRPr="00E81991" w:rsidTr="00D73F13">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6,6</w:t>
            </w:r>
          </w:p>
        </w:tc>
      </w:tr>
      <w:tr w:rsidR="002F1C54" w:rsidRPr="00E81991" w:rsidTr="00D73F13">
        <w:trPr>
          <w:trHeight w:val="27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0,6</w:t>
            </w:r>
          </w:p>
        </w:tc>
      </w:tr>
      <w:tr w:rsidR="002F1C54" w:rsidRPr="00E81991" w:rsidTr="00D73F13">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7,4</w:t>
            </w:r>
          </w:p>
        </w:tc>
      </w:tr>
      <w:tr w:rsidR="002F1C54" w:rsidRPr="00E81991" w:rsidTr="00D73F13">
        <w:trPr>
          <w:trHeight w:val="270"/>
        </w:trPr>
        <w:tc>
          <w:tcPr>
            <w:tcW w:w="1365"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2,6</w:t>
            </w:r>
          </w:p>
        </w:tc>
      </w:tr>
      <w:tr w:rsidR="002F1C54" w:rsidRPr="00E81991" w:rsidTr="00D73F13">
        <w:trPr>
          <w:trHeight w:val="60"/>
        </w:trPr>
        <w:tc>
          <w:tcPr>
            <w:tcW w:w="5700" w:type="dxa"/>
            <w:gridSpan w:val="4"/>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eastAsia="en-US"/>
              </w:rPr>
            </w:pPr>
          </w:p>
        </w:tc>
      </w:tr>
    </w:tbl>
    <w:p w:rsidR="002F1C54" w:rsidRDefault="002F1C54" w:rsidP="002F1C54">
      <w:pPr>
        <w:spacing w:line="360" w:lineRule="auto"/>
        <w:jc w:val="both"/>
      </w:pPr>
    </w:p>
    <w:p w:rsidR="002F1C54" w:rsidRDefault="002F1C54" w:rsidP="002F1C54">
      <w:pPr>
        <w:spacing w:line="360" w:lineRule="auto"/>
        <w:jc w:val="both"/>
      </w:pPr>
      <w:r>
        <w:t>Conferma della capacità dell’analisi di cluster di raggruppare correttamente le province in funzione delle caratteristiche del sistema economico, si osserva dalla tabella sottostante, all’interno della quale é possibile osservare come il dato medio relativo al rischio di evasione passi da un valore nettamente positivo (basso rischio di evasione) ad uno nettamente negativo (elevato rischio di evasione) tra il primo e il terzo gruppo.</w:t>
      </w:r>
    </w:p>
    <w:p w:rsidR="002F1C54" w:rsidRPr="00FB4D0F" w:rsidRDefault="002F1C54" w:rsidP="002F1C54">
      <w:pPr>
        <w:jc w:val="both"/>
        <w:rPr>
          <w:rFonts w:ascii="Garamond" w:hAnsi="Garamond"/>
          <w:b/>
          <w:color w:val="000000"/>
          <w:sz w:val="20"/>
          <w:szCs w:val="20"/>
        </w:rPr>
      </w:pPr>
      <w:r>
        <w:rPr>
          <w:rFonts w:ascii="Garamond" w:hAnsi="Garamond"/>
          <w:b/>
          <w:color w:val="000000"/>
          <w:sz w:val="20"/>
          <w:szCs w:val="20"/>
        </w:rPr>
        <w:lastRenderedPageBreak/>
        <w:t xml:space="preserve">                                </w:t>
      </w:r>
      <w:r w:rsidRPr="00FB4D0F">
        <w:rPr>
          <w:rFonts w:ascii="Garamond" w:hAnsi="Garamond"/>
          <w:b/>
          <w:color w:val="000000"/>
          <w:sz w:val="20"/>
          <w:szCs w:val="20"/>
        </w:rPr>
        <w:t>Rischio di evasione medio per cluster</w:t>
      </w:r>
    </w:p>
    <w:tbl>
      <w:tblPr>
        <w:tblW w:w="6476" w:type="dxa"/>
        <w:jc w:val="center"/>
        <w:tblInd w:w="-252" w:type="dxa"/>
        <w:tblLook w:val="04A0"/>
      </w:tblPr>
      <w:tblGrid>
        <w:gridCol w:w="1800"/>
        <w:gridCol w:w="1616"/>
        <w:gridCol w:w="1714"/>
        <w:gridCol w:w="1346"/>
      </w:tblGrid>
      <w:tr w:rsidR="002F1C54" w:rsidRPr="00E81991" w:rsidTr="00D73F13">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Rischio di evasione</w:t>
            </w:r>
          </w:p>
        </w:tc>
      </w:tr>
      <w:tr w:rsidR="002F1C54" w:rsidRPr="00E81991" w:rsidTr="00D73F13">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0,931</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0,881</w:t>
            </w:r>
          </w:p>
        </w:tc>
      </w:tr>
      <w:tr w:rsidR="002F1C54" w:rsidRPr="00E81991" w:rsidTr="00D73F13">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0,144</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0,515</w:t>
            </w:r>
          </w:p>
        </w:tc>
      </w:tr>
      <w:tr w:rsidR="002F1C54" w:rsidRPr="00E81991" w:rsidTr="00D73F13">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-0,614</w:t>
            </w:r>
          </w:p>
        </w:tc>
      </w:tr>
      <w:tr w:rsidR="002F1C54" w:rsidRPr="00E81991" w:rsidTr="00D73F13">
        <w:trPr>
          <w:trHeight w:val="60"/>
          <w:jc w:val="center"/>
        </w:trPr>
        <w:tc>
          <w:tcPr>
            <w:tcW w:w="1800" w:type="dxa"/>
            <w:vMerge/>
            <w:tcBorders>
              <w:top w:val="nil"/>
              <w:left w:val="nil"/>
              <w:bottom w:val="single" w:sz="8" w:space="0" w:color="000000"/>
              <w:right w:val="nil"/>
            </w:tcBorders>
            <w:vAlign w:val="center"/>
            <w:hideMark/>
          </w:tcPr>
          <w:p w:rsidR="002F1C54" w:rsidRPr="00E81991" w:rsidRDefault="002F1C54" w:rsidP="00D73F13">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2F1C54" w:rsidRPr="00E81991" w:rsidRDefault="002F1C54" w:rsidP="00D73F13">
            <w:pPr>
              <w:jc w:val="center"/>
              <w:rPr>
                <w:rFonts w:ascii="Garamond" w:hAnsi="Garamond"/>
                <w:color w:val="000000"/>
                <w:sz w:val="20"/>
                <w:szCs w:val="20"/>
                <w:lang w:val="en-US" w:eastAsia="en-US"/>
              </w:rPr>
            </w:pPr>
            <w:r>
              <w:rPr>
                <w:rFonts w:ascii="Garamond" w:hAnsi="Garamond"/>
                <w:color w:val="000000"/>
                <w:sz w:val="20"/>
                <w:szCs w:val="20"/>
                <w:lang w:val="en-US" w:eastAsia="en-US"/>
              </w:rPr>
              <w:t>0,831</w:t>
            </w:r>
          </w:p>
        </w:tc>
      </w:tr>
      <w:tr w:rsidR="002F1C54" w:rsidRPr="00E81991" w:rsidTr="00D73F13">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2F1C54" w:rsidRPr="00E81991" w:rsidRDefault="002F1C54" w:rsidP="00D73F13">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r>
    </w:tbl>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Pr="00807021" w:rsidRDefault="002F1C54" w:rsidP="002F1C54">
      <w:pPr>
        <w:pStyle w:val="Titolo1"/>
        <w:spacing w:before="0"/>
      </w:pPr>
      <w:bookmarkStart w:id="14" w:name="_Toc356897346"/>
      <w:bookmarkStart w:id="15" w:name="_Toc359506062"/>
      <w:r w:rsidRPr="00807021">
        <w:lastRenderedPageBreak/>
        <w:t xml:space="preserve">La provincia di </w:t>
      </w:r>
      <w:r>
        <w:t>Bergamo</w:t>
      </w:r>
      <w:r w:rsidRPr="00807021">
        <w:t>: l’indicatore di benessere a livello comunale</w:t>
      </w:r>
      <w:bookmarkEnd w:id="14"/>
      <w:bookmarkEnd w:id="15"/>
    </w:p>
    <w:p w:rsidR="002F1C54" w:rsidRPr="00807021" w:rsidRDefault="002F1C54" w:rsidP="002F1C54">
      <w:pPr>
        <w:spacing w:line="360" w:lineRule="auto"/>
        <w:jc w:val="both"/>
        <w:rPr>
          <w:color w:val="000000"/>
        </w:rPr>
      </w:pPr>
    </w:p>
    <w:p w:rsidR="002F1C54" w:rsidRPr="00807021" w:rsidRDefault="002F1C54" w:rsidP="002F1C54">
      <w:pPr>
        <w:spacing w:line="360" w:lineRule="auto"/>
        <w:jc w:val="both"/>
        <w:rPr>
          <w:color w:val="000000"/>
        </w:rPr>
      </w:pPr>
      <w:r w:rsidRPr="00807021">
        <w:rPr>
          <w:color w:val="000000"/>
        </w:rPr>
        <w:t xml:space="preserve">Nella sezione successiva, invece, ci focalizzeremo sui comuni della provincia di </w:t>
      </w:r>
      <w:r>
        <w:rPr>
          <w:color w:val="000000"/>
        </w:rPr>
        <w:t>Bergamo</w:t>
      </w:r>
      <w:r w:rsidRPr="00807021">
        <w:rPr>
          <w:color w:val="000000"/>
        </w:rPr>
        <w:t xml:space="preserve">. Anche in questo caso, </w:t>
      </w:r>
      <w:r>
        <w:rPr>
          <w:color w:val="000000"/>
        </w:rPr>
        <w:t>utilizzando</w:t>
      </w:r>
      <w:r w:rsidRPr="00807021">
        <w:rPr>
          <w:color w:val="000000"/>
        </w:rPr>
        <w:t xml:space="preserve"> il risultato </w:t>
      </w:r>
      <w:r>
        <w:rPr>
          <w:color w:val="000000"/>
        </w:rPr>
        <w:t>ottenuto</w:t>
      </w:r>
      <w:r w:rsidRPr="00807021">
        <w:rPr>
          <w:color w:val="000000"/>
        </w:rPr>
        <w:t xml:space="preserve"> con l’indicatore di rischio di evasione, stimeremo il differente livello di rischio di evasione. Tenuto conto della differente disponibilità di informazioni sono stati utilizzati 8 indicatori per definire il livello di benessere medio territoriale. Alcuni di essi come il numero di auto per dichiaranti un reddito IRPEF, i rifiuti prodotti per dichiarante reddito IRPEF, l’ammontare dei depositi standardizzati per il numero di soggetti dichiaranti reddito IRPEF</w:t>
      </w:r>
      <w:r>
        <w:rPr>
          <w:color w:val="000000"/>
        </w:rPr>
        <w:t>,</w:t>
      </w:r>
      <w:r w:rsidRPr="00807021">
        <w:rPr>
          <w:color w:val="000000"/>
        </w:rPr>
        <w:t xml:space="preserve"> sono indicatori già utilizzati nell’analisi svolta a livello provinciale. Differentemente dall’analisi precedente sono stati utilizzati i dati forniti</w:t>
      </w:r>
      <w:r w:rsidRPr="00807021">
        <w:t xml:space="preserve"> dalla banca dati dell’Agenzia del Territorio, la quale fornisce stime delle quotazioni immobiliari a livello comunale permettendo di suddividere l’area territoriale tra centro storico, zona semiperiferica, periferica, suburbana e rurale. Inoltre, tramite la banca dati é possibile raccogliere informazioni relative ai costi degli immobili in base allo stato di conservazione dell’edificio. Per lo studio in questione, abbiamo considerato tre tipi di destinazione degli immobili: residenziale, commerciale e terziario con riferimento</w:t>
      </w:r>
      <w:r w:rsidRPr="00807021">
        <w:rPr>
          <w:color w:val="FF0000"/>
        </w:rPr>
        <w:t xml:space="preserve"> </w:t>
      </w:r>
      <w:r w:rsidRPr="00807021">
        <w:rPr>
          <w:color w:val="000000"/>
        </w:rPr>
        <w:t>al dato del secondo semestre 2010 per omogeneità temporale con il resto degli indicatori utilizzati. Nel caso di più aree centrali, semiperiferiche o periferiche è stato calcolato il valore medio; inoltre, la media è stata utilizzata anche nel caso in cui nelle diverse zone venivano definiti diversi stati di conservazione degli immobili. Abbiamo inoltre ritenuto corretto aggiungere la variazione dell’ammontare dei depositi, sempre standardizzati rispetto ai soggetti dichiaranti reddito Irpef, tra il 2009 ed il 2010; analogamente per quel che concerne il parco veicolare circolante è stato considerato anche il trend 2009/2010.</w:t>
      </w:r>
    </w:p>
    <w:p w:rsidR="002F1C54" w:rsidRPr="00807021" w:rsidRDefault="002F1C54" w:rsidP="002F1C54">
      <w:pPr>
        <w:spacing w:line="360" w:lineRule="auto"/>
        <w:jc w:val="both"/>
        <w:rPr>
          <w:color w:val="000000"/>
        </w:rPr>
      </w:pPr>
      <w:r w:rsidRPr="00807021">
        <w:rPr>
          <w:color w:val="000000"/>
        </w:rPr>
        <w:t>Prima di osservare i risultati ottenuti all’interno dello studio presenteremo una breve panoramica delle caratteristiche del sistema imprenditoriale a livello comunale della provincia di Bergamo per quanto concerne la diffusione di imprese, di ditte artigiane e di esercizi commerciali di vicinato. Per tutti e tre gli aspetti considerati sarà proposto un indicatore di diffusione generato standardizzando il dato alla popolazione residente nel territorio. Inoltre, date le dimensioni delle tabelle, all’interno dell’elaborato saranno commentati dati che mostrano il fenomeno a livello provinciale, focalizzandosi solamente sui comuni più grandi. Per una visione dei dati complessivi rimandiamo invece all’allegato.</w:t>
      </w:r>
    </w:p>
    <w:p w:rsidR="002F1C54" w:rsidRPr="00807021" w:rsidRDefault="002F1C54" w:rsidP="002F1C54">
      <w:pPr>
        <w:spacing w:line="360" w:lineRule="auto"/>
        <w:jc w:val="both"/>
      </w:pPr>
      <w:r w:rsidRPr="00807021">
        <w:t xml:space="preserve">Il tema dell’evasione fiscale ha acquisito sempre più importanza negli ultimi anni; specialmente con la recente crisi economica e con l’avvento del “Governo dei tecnici” è stata inserita nella lista dei principali problemi da debellare. La lotta all’evasione si affianca quindi alla </w:t>
      </w:r>
      <w:r w:rsidRPr="00807021">
        <w:rPr>
          <w:i/>
        </w:rPr>
        <w:t>spending review</w:t>
      </w:r>
      <w:r w:rsidRPr="00807021">
        <w:t xml:space="preserve"> e al miglioramento dell’efficienza del settore pubblico nel ricettario delle proposte per uscire dalla crisi.</w:t>
      </w:r>
    </w:p>
    <w:p w:rsidR="002F1C54" w:rsidRPr="00807021" w:rsidRDefault="002F1C54" w:rsidP="002F1C54">
      <w:pPr>
        <w:spacing w:line="360" w:lineRule="auto"/>
        <w:jc w:val="both"/>
      </w:pPr>
      <w:r w:rsidRPr="00807021">
        <w:lastRenderedPageBreak/>
        <w:t xml:space="preserve">Nonostante questo, quando si parla di evasione ci si riferisce ad un argomento complesso e soprattutto controverso. Per chi intende cercare di stabilirne l’entità, la grandezza e l’intensità un primo problema consiste nel cercare di circoscriverne i confini. Bisogna distinguere innanzitutto fra varie tipologie di attività che spesso vengono spesso confuse: attività illegali, informali e sommerse (Palmieri 2004, Monticelli 2005). Le prime riguardano la produzione di beni e servizi la cui vendita, possesso e distribuzione è proibita dalla legge. Le seconde riguardano per lo più la produzione di beni e servizi con l’obiettivo primario di generare ricchezza alle persone coinvolte. La terza è quella più strettamente connessa all’evasione e riguarda quelle attività che sono svolte clandestinamente per i svariati motivi: evasione fiscale per l’appunto, evasione contributiva, inosservanza della normativa civilistica sul lavoro o sulla sicurezza, mancato rispetto dei minimi salariali, orario di lavoro e mancata compilazione della modulistica amministrativa. </w:t>
      </w:r>
    </w:p>
    <w:p w:rsidR="002F1C54" w:rsidRPr="00C8475B" w:rsidRDefault="002F1C54" w:rsidP="002F1C54">
      <w:pPr>
        <w:spacing w:line="360" w:lineRule="auto"/>
        <w:jc w:val="both"/>
        <w:rPr>
          <w:highlight w:val="yellow"/>
        </w:rPr>
      </w:pPr>
      <w:r w:rsidRPr="00807021">
        <w:t>Ora che si sono tracciati i confini teorici si può dire che esistono principalmente due dei metodi di misura dell’evasione evasione fiscale: i metodi diretti e i metodi indiretti. I primi si basano principalmente su dati microeconomici che stimano direttamente il sommerso attraverso indagini campionarie su famiglie e imprese, o attraverso la vigilanza tributaria (auditing fiscale</w:t>
      </w:r>
      <w:r w:rsidRPr="00807021">
        <w:rPr>
          <w:rStyle w:val="Rimandonotaapidipagina"/>
          <w:rFonts w:eastAsiaTheme="majorEastAsia"/>
        </w:rPr>
        <w:footnoteReference w:id="5"/>
      </w:r>
      <w:r w:rsidRPr="00807021">
        <w:t>). I secondi cercano di ricavare l’entità dell’economia sommersa attraverso modelli economici che captano i segnali che quest’ultima lascia in superficie (metodi monetari, indicatori globali) oppure indicatori che tengono conto della discrepanza fra aggregati di natura macroeconomica, come ad esempio discrepanza fra reddito e consumi o discrepanza fra dati statistici e dati fiscali</w:t>
      </w:r>
      <w:bookmarkStart w:id="16" w:name="_Toc355789091"/>
      <w:r>
        <w:t xml:space="preserve">. </w:t>
      </w:r>
      <w:r w:rsidRPr="00807021">
        <w:t>L’indicatore del rischio di evasione sarà quindi il risultato della discrepanza fra i redditi dei contribuenti e i loro consumi. Non essendoci delle indagini che vadano a raccogliere direttamente i dati di nostro interesse, la stima dell’indicatore verrà effettuata con dati provenienti da fonti differenti. Una volta standardizzati i dati verranno elaborati per ottenere l’indice desiderato. Questo tipo di indagine non è nuova e conta già diversi lavori successivamente citati dai quotidiani nazionali (si veda ad esempio le indagini svolte dal Centro Studi Sintesi e le relative pubblicazioni su Il sole 24 ore)</w:t>
      </w:r>
      <w:r w:rsidRPr="00807021">
        <w:rPr>
          <w:rStyle w:val="Rimandonotaapidipagina"/>
          <w:rFonts w:eastAsiaTheme="majorEastAsia"/>
        </w:rPr>
        <w:footnoteReference w:id="6"/>
      </w:r>
      <w:r w:rsidRPr="00807021">
        <w:t xml:space="preserve">. Ciononostante, l’indagine condotta dall’istituto Ires risulta essere la prima ad addentrarsi a livello comunale.. Quest’aspetto genera un determinato tipo di problematiche per quanto riguarda la reperibilità di alcuni indicatori di consumo che verrà affrontata nella parte successiva. Detto questo è utile sottolineare che il risultato che andremo ad ottenere è solamente un indice che ci dice quanto un comune, in media, può essere a rischio di evasione, rispetto agli altri comuni, utilizzando determinate voci di consumo. Proprio per questo è utile ribadire che se un comune dovesse </w:t>
      </w:r>
      <w:r w:rsidRPr="00807021">
        <w:lastRenderedPageBreak/>
        <w:t>riscontrare un elevato livello di rischio, non significherebbe che in quel comune siano tutti evasori ma semplicemente che vi è una propensione maggiore di riscontrare episodi d’evasione Essendo una delle prime indagini svolte a livello comunale potrà sicuramente essere punto di partenza per indagini d’approfondimento successive.</w:t>
      </w:r>
    </w:p>
    <w:bookmarkEnd w:id="16"/>
    <w:p w:rsidR="002F1C54" w:rsidRDefault="002F1C54" w:rsidP="002F1C54"/>
    <w:p w:rsidR="002F1C54" w:rsidRPr="00B1006F" w:rsidRDefault="002F1C54" w:rsidP="002F1C54">
      <w:pPr>
        <w:pStyle w:val="Titolo1"/>
        <w:rPr>
          <w:highlight w:val="magenta"/>
        </w:rPr>
      </w:pPr>
      <w:bookmarkStart w:id="17" w:name="_Toc357157207"/>
      <w:bookmarkStart w:id="18" w:name="_Toc359506063"/>
      <w:r w:rsidRPr="00C052B0">
        <w:t xml:space="preserve">Il sistema imprenditoriale nella provincia di </w:t>
      </w:r>
      <w:bookmarkEnd w:id="17"/>
      <w:r w:rsidRPr="00C052B0">
        <w:t>Bergamo</w:t>
      </w:r>
      <w:bookmarkEnd w:id="18"/>
    </w:p>
    <w:p w:rsidR="002F1C54" w:rsidRDefault="002F1C54" w:rsidP="002F1C54">
      <w:pPr>
        <w:spacing w:line="360" w:lineRule="auto"/>
        <w:jc w:val="both"/>
        <w:rPr>
          <w:color w:val="000000"/>
          <w:highlight w:val="magenta"/>
        </w:rPr>
      </w:pPr>
    </w:p>
    <w:p w:rsidR="002F1C54" w:rsidRDefault="002F1C54" w:rsidP="002F1C54">
      <w:pPr>
        <w:spacing w:line="360" w:lineRule="auto"/>
        <w:jc w:val="both"/>
        <w:rPr>
          <w:color w:val="000000"/>
          <w:highlight w:val="magenta"/>
        </w:rPr>
      </w:pPr>
      <w:r w:rsidRPr="00032734">
        <w:t xml:space="preserve">Prima di addentrarsi nelle analisi del rischio di evasione fiscale occorre dare una rapida descrizione del sistema imprenditoriale </w:t>
      </w:r>
      <w:r>
        <w:t>bergamasco</w:t>
      </w:r>
      <w:r w:rsidRPr="00032734">
        <w:t>. L’anno al quale i dati fanno riferimen</w:t>
      </w:r>
      <w:r>
        <w:t>to è il 2010. Nella prima sezione di questo rapporto, nell’ambito dell’analisi svolta a livello provinciale,</w:t>
      </w:r>
      <w:r w:rsidRPr="00032734">
        <w:t xml:space="preserve"> era emerso come il </w:t>
      </w:r>
      <w:r>
        <w:t>bergamasco</w:t>
      </w:r>
      <w:r w:rsidRPr="00032734">
        <w:t xml:space="preserve"> si caratterizzasse come una provincia con un sistema di imprese medio-piccole, contraddistinte da un numero medio di </w:t>
      </w:r>
      <w:r>
        <w:t>3,5</w:t>
      </w:r>
      <w:r w:rsidRPr="00032734">
        <w:t xml:space="preserve"> addetti per impresa. Questo dato, </w:t>
      </w:r>
      <w:r>
        <w:t>in linea con il valore medio calcolato a livello regionale (3,5)</w:t>
      </w:r>
      <w:r w:rsidRPr="00032734">
        <w:t xml:space="preserve">, si allineava </w:t>
      </w:r>
      <w:r>
        <w:t xml:space="preserve">attestava ben al di sopra della </w:t>
      </w:r>
      <w:r w:rsidRPr="00032734">
        <w:t>media nazionale</w:t>
      </w:r>
      <w:r>
        <w:t xml:space="preserve"> 2,6)</w:t>
      </w:r>
      <w:r w:rsidRPr="00032734">
        <w:rPr>
          <w:rStyle w:val="Rimandonotaapidipagina"/>
          <w:rFonts w:eastAsiaTheme="majorEastAsia"/>
        </w:rPr>
        <w:footnoteReference w:id="7"/>
      </w:r>
      <w:r w:rsidRPr="00032734">
        <w:t>.</w:t>
      </w:r>
    </w:p>
    <w:p w:rsidR="002F1C54" w:rsidRDefault="002F1C54" w:rsidP="002F1C54">
      <w:pPr>
        <w:spacing w:line="360" w:lineRule="auto"/>
        <w:jc w:val="both"/>
      </w:pPr>
      <w:r w:rsidRPr="00032734">
        <w:t>Sempre nel</w:t>
      </w:r>
      <w:r>
        <w:t xml:space="preserve">la prima sezione </w:t>
      </w:r>
      <w:r w:rsidRPr="00032734">
        <w:t xml:space="preserve">si </w:t>
      </w:r>
      <w:r>
        <w:t>mostrava</w:t>
      </w:r>
      <w:r w:rsidRPr="00032734">
        <w:t xml:space="preserve"> come il tessuto economico </w:t>
      </w:r>
      <w:r>
        <w:t>bergamasco</w:t>
      </w:r>
      <w:r w:rsidRPr="00032734">
        <w:t xml:space="preserve"> </w:t>
      </w:r>
      <w:r>
        <w:t xml:space="preserve">fosse composto, rispetto al dato regionale, da una maggior prevalenza di </w:t>
      </w:r>
      <w:r w:rsidRPr="00032734">
        <w:t>ditte con struttura semplice</w:t>
      </w:r>
      <w:r>
        <w:t xml:space="preserve"> quali quelle artigiane (38,8%).</w:t>
      </w:r>
    </w:p>
    <w:p w:rsidR="002F1C54" w:rsidRDefault="002F1C54" w:rsidP="002F1C54">
      <w:pPr>
        <w:spacing w:line="360" w:lineRule="auto"/>
        <w:jc w:val="both"/>
      </w:pPr>
      <w:r w:rsidRPr="00032734">
        <w:t xml:space="preserve">Per quanto riguarda il settore economico la provincia di </w:t>
      </w:r>
      <w:r>
        <w:t>Bergamo</w:t>
      </w:r>
      <w:r w:rsidRPr="00032734">
        <w:t xml:space="preserve"> si caratterizzava per </w:t>
      </w:r>
      <w:r>
        <w:t xml:space="preserve">una consistente </w:t>
      </w:r>
      <w:r w:rsidRPr="00032734">
        <w:t>preponderanza</w:t>
      </w:r>
      <w:r>
        <w:t xml:space="preserve"> (23,1%)</w:t>
      </w:r>
      <w:r w:rsidRPr="00032734">
        <w:t xml:space="preserve"> del settore </w:t>
      </w:r>
      <w:r>
        <w:t>delle costruzioni, seguito dal commercio (22,7%).</w:t>
      </w:r>
    </w:p>
    <w:p w:rsidR="002F1C54" w:rsidRPr="00807021" w:rsidRDefault="002F1C54" w:rsidP="002F1C54">
      <w:pPr>
        <w:spacing w:line="360" w:lineRule="auto"/>
        <w:jc w:val="both"/>
        <w:rPr>
          <w:color w:val="000000"/>
          <w:highlight w:val="yellow"/>
        </w:rPr>
      </w:pPr>
      <w:r w:rsidRPr="00032734">
        <w:t xml:space="preserve">Con questa rapida </w:t>
      </w:r>
      <w:r>
        <w:t>premessa</w:t>
      </w:r>
      <w:r w:rsidRPr="00032734">
        <w:t xml:space="preserve"> di quanto emerso fin ora ci si può concentrare sull’analisi a livello comunale. </w:t>
      </w:r>
      <w:r w:rsidRPr="008C792E">
        <w:rPr>
          <w:color w:val="000000"/>
        </w:rPr>
        <w:t xml:space="preserve">Nella prima parte di questo capitolo ci focalizzeremo sulla presenza delle imprese di piccole e piccolissime dimensioni. Purtroppo, il dato relativo al numero di imprese ogni 1000 abitanti (dato in ogni caso inserito a titolo informativo) non permette di ottenere alcuna informazione certa per quanto concerne il fenomeno di nostro interesse. Infatti, se da un lato aree caratterizzate da una massiccia presenza di imprese ogni 1000 abitanti possono indicare la diffusione di imprese di piccole dimensioni (che fanno sì che il numero di imprese attive sul territorio sia molto elevato), dall’altro la presenza di poche imprese può benissimo essere un indicatore della mancanza di imprese piuttosto che la presenza solo di grandi imprese. Di conseguenza, per quanto concerne lo studio delle dimensioni delle imprese locali, faremo solamente riferimento al dato relativo alle imprese artigiane e agli esercizi di vicinato. Inoltre, é necessario considerare che il valore mostrato si riferisce ad un processo di standardizzazione che stima il </w:t>
      </w:r>
      <w:r w:rsidRPr="008C792E">
        <w:rPr>
          <w:color w:val="000000"/>
        </w:rPr>
        <w:lastRenderedPageBreak/>
        <w:t xml:space="preserve">numero di imprese che ci sarebbero sul territorio ogni 1000 abitanti, senza però distinguere tra i comuni che effettivamente hanno almeno 1000 abitanti e quelli di dimensioni più contenute. </w:t>
      </w:r>
    </w:p>
    <w:p w:rsidR="002F1C54" w:rsidRPr="00807021" w:rsidRDefault="002F1C54" w:rsidP="002F1C54">
      <w:pPr>
        <w:spacing w:line="360" w:lineRule="auto"/>
        <w:jc w:val="both"/>
        <w:rPr>
          <w:color w:val="000000"/>
          <w:highlight w:val="yellow"/>
        </w:rPr>
      </w:pPr>
      <w:r w:rsidRPr="00CA7227">
        <w:rPr>
          <w:color w:val="000000"/>
        </w:rPr>
        <w:t xml:space="preserve">In ogni caso, per quanto concerne la presenza di imprese attive a livello comunale, é possibile osservare come il 50% dei comuni della provincia di </w:t>
      </w:r>
      <w:r>
        <w:rPr>
          <w:color w:val="000000"/>
        </w:rPr>
        <w:t>Bergamo</w:t>
      </w:r>
      <w:r w:rsidRPr="00CA7227">
        <w:rPr>
          <w:color w:val="000000"/>
        </w:rPr>
        <w:t xml:space="preserve"> si caratterizzi per un numero di imprese superiore a 75,8 ogni 1000 abitanti. Per quanto riguarda la distribuzione del fenomeno a livello territoriale, la tabella mostra come l’80% dei comuni mostri una valore che oscilla tra 56,4 imprese ogni 1000 abitanti e 103,5. Considerando invece singole realtà locali é possibile osservare come il comune con il dato più contenuto risulti essere Castro (21,5 imprese attive ogni 1000 abitanti), mentre la realtà con la più elevata diffusione di imprese sia Valleve (183,8).</w:t>
      </w:r>
    </w:p>
    <w:tbl>
      <w:tblPr>
        <w:tblW w:w="4835" w:type="dxa"/>
        <w:jc w:val="center"/>
        <w:tblInd w:w="55" w:type="dxa"/>
        <w:tblCellMar>
          <w:left w:w="70" w:type="dxa"/>
          <w:right w:w="70" w:type="dxa"/>
        </w:tblCellMar>
        <w:tblLook w:val="04A0"/>
      </w:tblPr>
      <w:tblGrid>
        <w:gridCol w:w="3494"/>
        <w:gridCol w:w="1341"/>
      </w:tblGrid>
      <w:tr w:rsidR="002F1C54" w:rsidRPr="00CA7227" w:rsidTr="00D73F13">
        <w:trPr>
          <w:trHeight w:val="300"/>
          <w:jc w:val="center"/>
        </w:trPr>
        <w:tc>
          <w:tcPr>
            <w:tcW w:w="4835" w:type="dxa"/>
            <w:gridSpan w:val="2"/>
            <w:tcBorders>
              <w:top w:val="nil"/>
              <w:left w:val="nil"/>
              <w:bottom w:val="nil"/>
              <w:right w:val="nil"/>
            </w:tcBorders>
            <w:shd w:val="clear" w:color="auto" w:fill="auto"/>
            <w:noWrap/>
            <w:vAlign w:val="bottom"/>
            <w:hideMark/>
          </w:tcPr>
          <w:p w:rsidR="002F1C54" w:rsidRPr="00CA7227" w:rsidRDefault="002F1C54" w:rsidP="00D73F13">
            <w:pPr>
              <w:rPr>
                <w:rFonts w:ascii="Garamond" w:hAnsi="Garamond" w:cs="Calibri"/>
                <w:b/>
                <w:bCs/>
                <w:sz w:val="20"/>
                <w:szCs w:val="20"/>
              </w:rPr>
            </w:pPr>
          </w:p>
          <w:p w:rsidR="002F1C54" w:rsidRPr="00CA7227" w:rsidRDefault="002F1C54" w:rsidP="00D73F13">
            <w:pPr>
              <w:rPr>
                <w:rFonts w:ascii="Garamond" w:hAnsi="Garamond" w:cs="Calibri"/>
                <w:b/>
                <w:bCs/>
                <w:sz w:val="20"/>
                <w:szCs w:val="20"/>
              </w:rPr>
            </w:pPr>
          </w:p>
          <w:p w:rsidR="002F1C54" w:rsidRPr="00CA7227" w:rsidRDefault="002F1C54" w:rsidP="00D73F13">
            <w:pPr>
              <w:rPr>
                <w:rFonts w:ascii="Garamond" w:hAnsi="Garamond" w:cs="Calibri"/>
                <w:b/>
                <w:bCs/>
                <w:sz w:val="20"/>
                <w:szCs w:val="20"/>
              </w:rPr>
            </w:pPr>
            <w:r w:rsidRPr="00CA7227">
              <w:rPr>
                <w:rFonts w:ascii="Garamond" w:hAnsi="Garamond" w:cs="Calibri"/>
                <w:b/>
                <w:bCs/>
                <w:sz w:val="20"/>
                <w:szCs w:val="20"/>
              </w:rPr>
              <w:t>Numero di imprese ogni 1.000 abitanti</w:t>
            </w:r>
          </w:p>
        </w:tc>
      </w:tr>
      <w:tr w:rsidR="002F1C54" w:rsidRPr="00CA7227" w:rsidTr="00D73F13">
        <w:trPr>
          <w:trHeight w:val="300"/>
          <w:jc w:val="center"/>
        </w:trPr>
        <w:tc>
          <w:tcPr>
            <w:tcW w:w="3494" w:type="dxa"/>
            <w:tcBorders>
              <w:top w:val="single" w:sz="4" w:space="0" w:color="auto"/>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 </w:t>
            </w:r>
          </w:p>
        </w:tc>
        <w:tc>
          <w:tcPr>
            <w:tcW w:w="1341" w:type="dxa"/>
            <w:tcBorders>
              <w:top w:val="single" w:sz="4" w:space="0" w:color="auto"/>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Numero</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10%</w:t>
            </w:r>
          </w:p>
        </w:tc>
        <w:tc>
          <w:tcPr>
            <w:tcW w:w="134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56,4</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25%</w:t>
            </w:r>
          </w:p>
        </w:tc>
        <w:tc>
          <w:tcPr>
            <w:tcW w:w="134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62,9</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50% (mediana)</w:t>
            </w:r>
          </w:p>
        </w:tc>
        <w:tc>
          <w:tcPr>
            <w:tcW w:w="134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75,4</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75%</w:t>
            </w:r>
          </w:p>
        </w:tc>
        <w:tc>
          <w:tcPr>
            <w:tcW w:w="134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88,4</w:t>
            </w:r>
          </w:p>
        </w:tc>
      </w:tr>
      <w:tr w:rsidR="002F1C54" w:rsidRPr="00CA7227" w:rsidTr="00D73F13">
        <w:trPr>
          <w:trHeight w:val="300"/>
          <w:jc w:val="center"/>
        </w:trPr>
        <w:tc>
          <w:tcPr>
            <w:tcW w:w="3494" w:type="dxa"/>
            <w:tcBorders>
              <w:top w:val="nil"/>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90%</w:t>
            </w:r>
          </w:p>
        </w:tc>
        <w:tc>
          <w:tcPr>
            <w:tcW w:w="134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103,5</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Minimo (Castro)</w:t>
            </w:r>
          </w:p>
        </w:tc>
        <w:tc>
          <w:tcPr>
            <w:tcW w:w="1341" w:type="dxa"/>
            <w:tcBorders>
              <w:top w:val="single" w:sz="4" w:space="0" w:color="auto"/>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21,5</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Massimo (Valleve)</w:t>
            </w:r>
          </w:p>
        </w:tc>
        <w:tc>
          <w:tcPr>
            <w:tcW w:w="134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183,8</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Media</w:t>
            </w:r>
          </w:p>
        </w:tc>
        <w:tc>
          <w:tcPr>
            <w:tcW w:w="134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78,4</w:t>
            </w:r>
          </w:p>
        </w:tc>
      </w:tr>
      <w:tr w:rsidR="002F1C54" w:rsidRPr="00CA7227" w:rsidTr="00D73F13">
        <w:trPr>
          <w:trHeight w:val="300"/>
          <w:jc w:val="center"/>
        </w:trPr>
        <w:tc>
          <w:tcPr>
            <w:tcW w:w="3494" w:type="dxa"/>
            <w:tcBorders>
              <w:top w:val="nil"/>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Deviazione Standard</w:t>
            </w:r>
          </w:p>
        </w:tc>
        <w:tc>
          <w:tcPr>
            <w:tcW w:w="1341" w:type="dxa"/>
            <w:tcBorders>
              <w:top w:val="nil"/>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21,1</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rPr>
                <w:rFonts w:ascii="Garamond" w:hAnsi="Garamond" w:cs="Calibri"/>
                <w:b/>
                <w:bCs/>
                <w:color w:val="000000"/>
                <w:sz w:val="18"/>
                <w:szCs w:val="18"/>
              </w:rPr>
            </w:pPr>
            <w:r w:rsidRPr="00CA7227">
              <w:rPr>
                <w:rFonts w:ascii="Garamond" w:hAnsi="Garamond" w:cs="Calibri"/>
                <w:b/>
                <w:bCs/>
                <w:color w:val="000000"/>
                <w:sz w:val="18"/>
                <w:szCs w:val="18"/>
                <w:lang w:val="en-US"/>
              </w:rPr>
              <w:t>N = 244. Bergamo anno 2010</w:t>
            </w:r>
          </w:p>
        </w:tc>
        <w:tc>
          <w:tcPr>
            <w:tcW w:w="1341" w:type="dxa"/>
            <w:tcBorders>
              <w:top w:val="nil"/>
              <w:left w:val="nil"/>
              <w:bottom w:val="nil"/>
              <w:right w:val="nil"/>
            </w:tcBorders>
            <w:shd w:val="clear" w:color="auto" w:fill="auto"/>
            <w:noWrap/>
            <w:vAlign w:val="bottom"/>
            <w:hideMark/>
          </w:tcPr>
          <w:p w:rsidR="002F1C54" w:rsidRPr="00CA7227" w:rsidRDefault="002F1C54" w:rsidP="00D73F13">
            <w:pPr>
              <w:rPr>
                <w:color w:val="000000"/>
                <w:sz w:val="20"/>
                <w:szCs w:val="20"/>
              </w:rPr>
            </w:pPr>
          </w:p>
        </w:tc>
      </w:tr>
      <w:tr w:rsidR="002F1C54" w:rsidRPr="00CA7227" w:rsidTr="00D73F13">
        <w:trPr>
          <w:trHeight w:val="300"/>
          <w:jc w:val="center"/>
        </w:trPr>
        <w:tc>
          <w:tcPr>
            <w:tcW w:w="4835" w:type="dxa"/>
            <w:gridSpan w:val="2"/>
            <w:tcBorders>
              <w:top w:val="nil"/>
              <w:left w:val="nil"/>
              <w:bottom w:val="nil"/>
              <w:right w:val="nil"/>
            </w:tcBorders>
            <w:shd w:val="clear" w:color="auto" w:fill="auto"/>
            <w:noWrap/>
            <w:vAlign w:val="center"/>
            <w:hideMark/>
          </w:tcPr>
          <w:p w:rsidR="002F1C54" w:rsidRPr="00CA7227" w:rsidRDefault="002F1C54" w:rsidP="00D73F13">
            <w:pPr>
              <w:rPr>
                <w:rFonts w:ascii="Garamond" w:hAnsi="Garamond" w:cs="Calibri"/>
                <w:b/>
                <w:bCs/>
                <w:color w:val="000000"/>
                <w:sz w:val="18"/>
                <w:szCs w:val="18"/>
              </w:rPr>
            </w:pPr>
            <w:r w:rsidRPr="00CA7227">
              <w:rPr>
                <w:rFonts w:ascii="Garamond" w:hAnsi="Garamond" w:cs="Calibri"/>
                <w:b/>
                <w:bCs/>
                <w:color w:val="000000"/>
                <w:sz w:val="18"/>
                <w:szCs w:val="18"/>
                <w:lang w:eastAsia="en-US"/>
              </w:rPr>
              <w:t>Fonte: elaborazioni IRES Morosini su dati ASR Lombardia</w:t>
            </w:r>
          </w:p>
        </w:tc>
      </w:tr>
    </w:tbl>
    <w:p w:rsidR="002F1C54" w:rsidRPr="00807021" w:rsidRDefault="002F1C54" w:rsidP="002F1C54">
      <w:pPr>
        <w:spacing w:line="360" w:lineRule="auto"/>
        <w:jc w:val="both"/>
        <w:rPr>
          <w:color w:val="000000"/>
          <w:highlight w:val="yellow"/>
        </w:rPr>
      </w:pPr>
    </w:p>
    <w:p w:rsidR="002F1C54" w:rsidRPr="00807021" w:rsidRDefault="002F1C54" w:rsidP="002F1C54">
      <w:pPr>
        <w:spacing w:line="360" w:lineRule="auto"/>
        <w:jc w:val="both"/>
        <w:rPr>
          <w:color w:val="000000"/>
          <w:highlight w:val="yellow"/>
        </w:rPr>
      </w:pPr>
    </w:p>
    <w:p w:rsidR="002F1C54" w:rsidRPr="00CA7227" w:rsidRDefault="002F1C54" w:rsidP="002F1C54">
      <w:pPr>
        <w:spacing w:line="360" w:lineRule="auto"/>
        <w:jc w:val="both"/>
        <w:rPr>
          <w:color w:val="000000"/>
        </w:rPr>
      </w:pPr>
      <w:r w:rsidRPr="00CA7227">
        <w:rPr>
          <w:color w:val="000000"/>
        </w:rPr>
        <w:t>Maggiormente significativo, invece, il dato relativo alle ditte artigiane, per loro natura di piccolissime dimensioni. In questo caso, é possibile osservare una presenza sul territorio che nel 50% dei comuni supera le 33,9 ditte artigiane ogni 1000 abitanti. Nel 10% dei comuni con la maggiore presenza di questo tipo di attività economica il dato risulta oscillare tra le 44,7 fino alle circa 70 imprese artigiane ogni 1000 abitanti registrate presso Cornalba.</w:t>
      </w:r>
    </w:p>
    <w:p w:rsidR="002F1C54" w:rsidRPr="00CA7227" w:rsidRDefault="002F1C54" w:rsidP="002F1C54">
      <w:pPr>
        <w:spacing w:line="360" w:lineRule="auto"/>
        <w:jc w:val="both"/>
        <w:rPr>
          <w:color w:val="000000"/>
        </w:rPr>
      </w:pPr>
    </w:p>
    <w:p w:rsidR="002F1C54" w:rsidRPr="00CA7227"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Default="002F1C54" w:rsidP="002F1C54">
      <w:pPr>
        <w:spacing w:line="360" w:lineRule="auto"/>
        <w:jc w:val="both"/>
        <w:rPr>
          <w:color w:val="000000"/>
        </w:rPr>
      </w:pPr>
    </w:p>
    <w:p w:rsidR="002F1C54" w:rsidRPr="00CA7227" w:rsidRDefault="002F1C54" w:rsidP="002F1C54">
      <w:pPr>
        <w:spacing w:line="360" w:lineRule="auto"/>
        <w:jc w:val="both"/>
        <w:rPr>
          <w:color w:val="000000"/>
        </w:rPr>
      </w:pPr>
    </w:p>
    <w:p w:rsidR="002F1C54" w:rsidRPr="00CA7227" w:rsidRDefault="002F1C54" w:rsidP="002F1C54">
      <w:pPr>
        <w:spacing w:line="360" w:lineRule="auto"/>
        <w:jc w:val="both"/>
        <w:rPr>
          <w:color w:val="000000"/>
        </w:rPr>
      </w:pPr>
    </w:p>
    <w:tbl>
      <w:tblPr>
        <w:tblW w:w="4675" w:type="dxa"/>
        <w:jc w:val="center"/>
        <w:tblInd w:w="55" w:type="dxa"/>
        <w:tblCellMar>
          <w:left w:w="70" w:type="dxa"/>
          <w:right w:w="70" w:type="dxa"/>
        </w:tblCellMar>
        <w:tblLook w:val="04A0"/>
      </w:tblPr>
      <w:tblGrid>
        <w:gridCol w:w="3339"/>
        <w:gridCol w:w="1336"/>
      </w:tblGrid>
      <w:tr w:rsidR="002F1C54" w:rsidRPr="00CA7227" w:rsidTr="00D73F13">
        <w:trPr>
          <w:trHeight w:val="300"/>
          <w:jc w:val="center"/>
        </w:trPr>
        <w:tc>
          <w:tcPr>
            <w:tcW w:w="4675" w:type="dxa"/>
            <w:gridSpan w:val="2"/>
            <w:tcBorders>
              <w:top w:val="nil"/>
              <w:left w:val="nil"/>
              <w:bottom w:val="nil"/>
              <w:right w:val="nil"/>
            </w:tcBorders>
            <w:shd w:val="clear" w:color="auto" w:fill="auto"/>
            <w:noWrap/>
            <w:vAlign w:val="center"/>
            <w:hideMark/>
          </w:tcPr>
          <w:p w:rsidR="002F1C54" w:rsidRPr="00CA7227" w:rsidRDefault="002F1C54" w:rsidP="00D73F13">
            <w:pPr>
              <w:rPr>
                <w:rFonts w:ascii="Garamond" w:hAnsi="Garamond" w:cs="Calibri"/>
                <w:b/>
                <w:bCs/>
                <w:sz w:val="20"/>
                <w:szCs w:val="20"/>
              </w:rPr>
            </w:pPr>
            <w:r w:rsidRPr="00CA7227">
              <w:rPr>
                <w:rFonts w:ascii="Garamond" w:hAnsi="Garamond" w:cs="Calibri"/>
                <w:b/>
                <w:bCs/>
                <w:sz w:val="20"/>
                <w:szCs w:val="20"/>
              </w:rPr>
              <w:lastRenderedPageBreak/>
              <w:t>Numero di ditte artigiane ogni 1.000 abitanti</w:t>
            </w:r>
          </w:p>
        </w:tc>
      </w:tr>
      <w:tr w:rsidR="002F1C54" w:rsidRPr="00CA7227" w:rsidTr="00D73F13">
        <w:trPr>
          <w:trHeight w:val="300"/>
          <w:jc w:val="center"/>
        </w:trPr>
        <w:tc>
          <w:tcPr>
            <w:tcW w:w="3339" w:type="dxa"/>
            <w:tcBorders>
              <w:top w:val="single" w:sz="4" w:space="0" w:color="auto"/>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 </w:t>
            </w:r>
          </w:p>
        </w:tc>
        <w:tc>
          <w:tcPr>
            <w:tcW w:w="1336" w:type="dxa"/>
            <w:tcBorders>
              <w:top w:val="single" w:sz="4" w:space="0" w:color="auto"/>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Numero</w:t>
            </w:r>
          </w:p>
        </w:tc>
      </w:tr>
      <w:tr w:rsidR="002F1C54" w:rsidRPr="00CA7227"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10%</w:t>
            </w:r>
          </w:p>
        </w:tc>
        <w:tc>
          <w:tcPr>
            <w:tcW w:w="1336"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22,6</w:t>
            </w:r>
          </w:p>
        </w:tc>
      </w:tr>
      <w:tr w:rsidR="002F1C54" w:rsidRPr="00CA7227"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25%</w:t>
            </w:r>
          </w:p>
        </w:tc>
        <w:tc>
          <w:tcPr>
            <w:tcW w:w="1336"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28,3</w:t>
            </w:r>
          </w:p>
        </w:tc>
      </w:tr>
      <w:tr w:rsidR="002F1C54" w:rsidRPr="00CA7227"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50% (mediana)</w:t>
            </w:r>
          </w:p>
        </w:tc>
        <w:tc>
          <w:tcPr>
            <w:tcW w:w="1336"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33,9</w:t>
            </w:r>
          </w:p>
        </w:tc>
      </w:tr>
      <w:tr w:rsidR="002F1C54" w:rsidRPr="00CA7227"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75%</w:t>
            </w:r>
          </w:p>
        </w:tc>
        <w:tc>
          <w:tcPr>
            <w:tcW w:w="1336"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40,6</w:t>
            </w:r>
          </w:p>
        </w:tc>
      </w:tr>
      <w:tr w:rsidR="002F1C54" w:rsidRPr="00CA7227" w:rsidTr="00D73F13">
        <w:trPr>
          <w:trHeight w:val="300"/>
          <w:jc w:val="center"/>
        </w:trPr>
        <w:tc>
          <w:tcPr>
            <w:tcW w:w="3339" w:type="dxa"/>
            <w:tcBorders>
              <w:top w:val="nil"/>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90%</w:t>
            </w:r>
          </w:p>
        </w:tc>
        <w:tc>
          <w:tcPr>
            <w:tcW w:w="1336"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44,7</w:t>
            </w:r>
          </w:p>
        </w:tc>
      </w:tr>
      <w:tr w:rsidR="002F1C54" w:rsidRPr="00CA7227"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Minimo (Castro)</w:t>
            </w:r>
          </w:p>
        </w:tc>
        <w:tc>
          <w:tcPr>
            <w:tcW w:w="1336" w:type="dxa"/>
            <w:tcBorders>
              <w:top w:val="single" w:sz="4" w:space="0" w:color="auto"/>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10,4</w:t>
            </w:r>
          </w:p>
        </w:tc>
      </w:tr>
      <w:tr w:rsidR="002F1C54" w:rsidRPr="00CA7227"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Massimo (Cornalba)</w:t>
            </w:r>
          </w:p>
        </w:tc>
        <w:tc>
          <w:tcPr>
            <w:tcW w:w="1336"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70,0</w:t>
            </w:r>
          </w:p>
        </w:tc>
      </w:tr>
      <w:tr w:rsidR="002F1C54" w:rsidRPr="00CA7227"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Media</w:t>
            </w:r>
          </w:p>
        </w:tc>
        <w:tc>
          <w:tcPr>
            <w:tcW w:w="1336"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34,3</w:t>
            </w:r>
          </w:p>
        </w:tc>
      </w:tr>
      <w:tr w:rsidR="002F1C54" w:rsidRPr="00CA7227" w:rsidTr="00D73F13">
        <w:trPr>
          <w:trHeight w:val="300"/>
          <w:jc w:val="center"/>
        </w:trPr>
        <w:tc>
          <w:tcPr>
            <w:tcW w:w="3339" w:type="dxa"/>
            <w:tcBorders>
              <w:top w:val="nil"/>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Deviazione Standard</w:t>
            </w:r>
          </w:p>
        </w:tc>
        <w:tc>
          <w:tcPr>
            <w:tcW w:w="1336" w:type="dxa"/>
            <w:tcBorders>
              <w:top w:val="nil"/>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9,7</w:t>
            </w:r>
          </w:p>
        </w:tc>
      </w:tr>
      <w:tr w:rsidR="002F1C54" w:rsidRPr="00CA7227"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CA7227" w:rsidRDefault="002F1C54" w:rsidP="00D73F13">
            <w:pPr>
              <w:rPr>
                <w:rFonts w:ascii="Garamond" w:hAnsi="Garamond" w:cs="Calibri"/>
                <w:b/>
                <w:bCs/>
                <w:color w:val="000000"/>
                <w:sz w:val="18"/>
                <w:szCs w:val="18"/>
              </w:rPr>
            </w:pPr>
            <w:r w:rsidRPr="00CA7227">
              <w:rPr>
                <w:rFonts w:ascii="Garamond" w:hAnsi="Garamond" w:cs="Calibri"/>
                <w:b/>
                <w:bCs/>
                <w:color w:val="000000"/>
                <w:sz w:val="18"/>
                <w:szCs w:val="18"/>
                <w:lang w:val="en-US"/>
              </w:rPr>
              <w:t>N = 244. Bergamo anno 2010</w:t>
            </w:r>
          </w:p>
        </w:tc>
        <w:tc>
          <w:tcPr>
            <w:tcW w:w="1336" w:type="dxa"/>
            <w:tcBorders>
              <w:top w:val="nil"/>
              <w:left w:val="nil"/>
              <w:bottom w:val="nil"/>
              <w:right w:val="nil"/>
            </w:tcBorders>
            <w:shd w:val="clear" w:color="auto" w:fill="auto"/>
            <w:noWrap/>
            <w:vAlign w:val="bottom"/>
            <w:hideMark/>
          </w:tcPr>
          <w:p w:rsidR="002F1C54" w:rsidRPr="00CA7227" w:rsidRDefault="002F1C54" w:rsidP="00D73F13">
            <w:pPr>
              <w:rPr>
                <w:color w:val="000000"/>
                <w:sz w:val="20"/>
                <w:szCs w:val="20"/>
              </w:rPr>
            </w:pPr>
          </w:p>
        </w:tc>
      </w:tr>
      <w:tr w:rsidR="002F1C54" w:rsidRPr="00CA7227" w:rsidTr="00D73F13">
        <w:trPr>
          <w:trHeight w:val="111"/>
          <w:jc w:val="center"/>
        </w:trPr>
        <w:tc>
          <w:tcPr>
            <w:tcW w:w="4675" w:type="dxa"/>
            <w:gridSpan w:val="2"/>
            <w:tcBorders>
              <w:top w:val="nil"/>
              <w:left w:val="nil"/>
              <w:bottom w:val="nil"/>
              <w:right w:val="nil"/>
            </w:tcBorders>
            <w:shd w:val="clear" w:color="auto" w:fill="auto"/>
            <w:noWrap/>
            <w:vAlign w:val="center"/>
            <w:hideMark/>
          </w:tcPr>
          <w:p w:rsidR="002F1C54" w:rsidRPr="00CA7227" w:rsidRDefault="002F1C54" w:rsidP="00D73F13">
            <w:pPr>
              <w:rPr>
                <w:rFonts w:ascii="Garamond" w:hAnsi="Garamond" w:cs="Calibri"/>
                <w:b/>
                <w:bCs/>
                <w:color w:val="000000"/>
                <w:sz w:val="18"/>
                <w:szCs w:val="18"/>
              </w:rPr>
            </w:pPr>
            <w:r w:rsidRPr="00CA7227">
              <w:rPr>
                <w:rFonts w:ascii="Garamond" w:hAnsi="Garamond" w:cs="Calibri"/>
                <w:b/>
                <w:bCs/>
                <w:color w:val="000000"/>
                <w:sz w:val="18"/>
                <w:szCs w:val="18"/>
                <w:lang w:eastAsia="en-US"/>
              </w:rPr>
              <w:t>Fonte: elaborazioni IRES Morosini su dati ASR Lombardia</w:t>
            </w:r>
          </w:p>
        </w:tc>
      </w:tr>
    </w:tbl>
    <w:p w:rsidR="002F1C54" w:rsidRPr="00CA7227" w:rsidRDefault="002F1C54" w:rsidP="002F1C54">
      <w:pPr>
        <w:spacing w:line="360" w:lineRule="auto"/>
        <w:jc w:val="both"/>
        <w:rPr>
          <w:color w:val="000000"/>
        </w:rPr>
      </w:pPr>
    </w:p>
    <w:p w:rsidR="002F1C54" w:rsidRPr="00CA7227" w:rsidRDefault="002F1C54" w:rsidP="002F1C54">
      <w:pPr>
        <w:spacing w:line="360" w:lineRule="auto"/>
        <w:jc w:val="both"/>
        <w:rPr>
          <w:color w:val="000000"/>
        </w:rPr>
      </w:pPr>
      <w:r w:rsidRPr="00CA7227">
        <w:rPr>
          <w:color w:val="000000"/>
        </w:rPr>
        <w:t>Per quanto concerne il numero di esercizi di vicinato, é possibile osservare come nell’80% dei casi il range sia abbastanza limitato oscillando tra 3,6 esercizi ogni 1000 abitanti e 16,3. Esistono ovviamente comuni che si pongono nettamente al di fuori di tale: i dati forniti dall’ASR mostrano, ad esempio, come all’interno del comune di Foppolo la presenza di esercizi di vicinato superi le 50 ogni 1000 abitanti, e come tale incidenza sia superiore a 30 anche nei comuni di Castione della Presolana, Clusone e Selvino.</w:t>
      </w:r>
    </w:p>
    <w:p w:rsidR="002F1C54" w:rsidRPr="00CA7227" w:rsidRDefault="002F1C54" w:rsidP="002F1C54">
      <w:pPr>
        <w:spacing w:line="360" w:lineRule="auto"/>
        <w:jc w:val="both"/>
        <w:rPr>
          <w:color w:val="000000"/>
        </w:rPr>
      </w:pPr>
    </w:p>
    <w:tbl>
      <w:tblPr>
        <w:tblW w:w="4675" w:type="dxa"/>
        <w:jc w:val="center"/>
        <w:tblInd w:w="55" w:type="dxa"/>
        <w:tblCellMar>
          <w:left w:w="70" w:type="dxa"/>
          <w:right w:w="70" w:type="dxa"/>
        </w:tblCellMar>
        <w:tblLook w:val="04A0"/>
      </w:tblPr>
      <w:tblGrid>
        <w:gridCol w:w="3494"/>
        <w:gridCol w:w="1181"/>
      </w:tblGrid>
      <w:tr w:rsidR="002F1C54" w:rsidRPr="00CA7227" w:rsidTr="00D73F13">
        <w:trPr>
          <w:trHeight w:val="300"/>
          <w:jc w:val="center"/>
        </w:trPr>
        <w:tc>
          <w:tcPr>
            <w:tcW w:w="4675" w:type="dxa"/>
            <w:gridSpan w:val="2"/>
            <w:tcBorders>
              <w:top w:val="nil"/>
              <w:left w:val="nil"/>
              <w:bottom w:val="nil"/>
              <w:right w:val="nil"/>
            </w:tcBorders>
            <w:shd w:val="clear" w:color="auto" w:fill="auto"/>
            <w:noWrap/>
            <w:vAlign w:val="center"/>
            <w:hideMark/>
          </w:tcPr>
          <w:p w:rsidR="002F1C54" w:rsidRPr="00CA7227" w:rsidRDefault="002F1C54" w:rsidP="00D73F13">
            <w:pPr>
              <w:rPr>
                <w:rFonts w:ascii="Garamond" w:hAnsi="Garamond" w:cs="Calibri"/>
                <w:b/>
                <w:bCs/>
                <w:sz w:val="20"/>
                <w:szCs w:val="20"/>
              </w:rPr>
            </w:pPr>
            <w:r w:rsidRPr="00CA7227">
              <w:rPr>
                <w:rFonts w:ascii="Garamond" w:hAnsi="Garamond" w:cs="Calibri"/>
                <w:b/>
                <w:bCs/>
                <w:sz w:val="20"/>
                <w:szCs w:val="20"/>
              </w:rPr>
              <w:t>Numero esercizi di vicinato ogni 1.000 abitanti</w:t>
            </w:r>
          </w:p>
        </w:tc>
      </w:tr>
      <w:tr w:rsidR="002F1C54" w:rsidRPr="00CA7227" w:rsidTr="00D73F13">
        <w:trPr>
          <w:trHeight w:val="300"/>
          <w:jc w:val="center"/>
        </w:trPr>
        <w:tc>
          <w:tcPr>
            <w:tcW w:w="3494" w:type="dxa"/>
            <w:tcBorders>
              <w:top w:val="single" w:sz="4" w:space="0" w:color="auto"/>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 </w:t>
            </w:r>
          </w:p>
        </w:tc>
        <w:tc>
          <w:tcPr>
            <w:tcW w:w="1181" w:type="dxa"/>
            <w:tcBorders>
              <w:top w:val="single" w:sz="4" w:space="0" w:color="auto"/>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Numero</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10%</w:t>
            </w:r>
          </w:p>
        </w:tc>
        <w:tc>
          <w:tcPr>
            <w:tcW w:w="118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3,6</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25%</w:t>
            </w:r>
          </w:p>
        </w:tc>
        <w:tc>
          <w:tcPr>
            <w:tcW w:w="118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5,8</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50% (mediana)</w:t>
            </w:r>
          </w:p>
        </w:tc>
        <w:tc>
          <w:tcPr>
            <w:tcW w:w="118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8,1</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75%</w:t>
            </w:r>
          </w:p>
        </w:tc>
        <w:tc>
          <w:tcPr>
            <w:tcW w:w="118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11,1</w:t>
            </w:r>
          </w:p>
        </w:tc>
      </w:tr>
      <w:tr w:rsidR="002F1C54" w:rsidRPr="00CA7227" w:rsidTr="00D73F13">
        <w:trPr>
          <w:trHeight w:val="300"/>
          <w:jc w:val="center"/>
        </w:trPr>
        <w:tc>
          <w:tcPr>
            <w:tcW w:w="3494" w:type="dxa"/>
            <w:tcBorders>
              <w:top w:val="nil"/>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90%</w:t>
            </w:r>
          </w:p>
        </w:tc>
        <w:tc>
          <w:tcPr>
            <w:tcW w:w="118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16,3</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Minimo</w:t>
            </w:r>
          </w:p>
        </w:tc>
        <w:tc>
          <w:tcPr>
            <w:tcW w:w="1181" w:type="dxa"/>
            <w:tcBorders>
              <w:top w:val="single" w:sz="4" w:space="0" w:color="auto"/>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0,0</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Massimo (Foppolo)</w:t>
            </w:r>
          </w:p>
        </w:tc>
        <w:tc>
          <w:tcPr>
            <w:tcW w:w="118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57,1</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Media</w:t>
            </w:r>
          </w:p>
        </w:tc>
        <w:tc>
          <w:tcPr>
            <w:tcW w:w="1181" w:type="dxa"/>
            <w:tcBorders>
              <w:top w:val="nil"/>
              <w:left w:val="nil"/>
              <w:bottom w:val="nil"/>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9,5</w:t>
            </w:r>
          </w:p>
        </w:tc>
      </w:tr>
      <w:tr w:rsidR="002F1C54" w:rsidRPr="00CA7227" w:rsidTr="00D73F13">
        <w:trPr>
          <w:trHeight w:val="300"/>
          <w:jc w:val="center"/>
        </w:trPr>
        <w:tc>
          <w:tcPr>
            <w:tcW w:w="3494" w:type="dxa"/>
            <w:tcBorders>
              <w:top w:val="nil"/>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b/>
                <w:bCs/>
                <w:color w:val="000000"/>
                <w:sz w:val="20"/>
                <w:szCs w:val="20"/>
              </w:rPr>
            </w:pPr>
            <w:r w:rsidRPr="00CA7227">
              <w:rPr>
                <w:rFonts w:ascii="Garamond" w:hAnsi="Garamond" w:cs="Calibri"/>
                <w:b/>
                <w:bCs/>
                <w:color w:val="000000"/>
                <w:sz w:val="20"/>
                <w:szCs w:val="20"/>
              </w:rPr>
              <w:t>Deviazione Standard</w:t>
            </w:r>
          </w:p>
        </w:tc>
        <w:tc>
          <w:tcPr>
            <w:tcW w:w="1181" w:type="dxa"/>
            <w:tcBorders>
              <w:top w:val="nil"/>
              <w:left w:val="nil"/>
              <w:bottom w:val="single" w:sz="4" w:space="0" w:color="auto"/>
              <w:right w:val="nil"/>
            </w:tcBorders>
            <w:shd w:val="clear" w:color="auto" w:fill="auto"/>
            <w:noWrap/>
            <w:vAlign w:val="center"/>
            <w:hideMark/>
          </w:tcPr>
          <w:p w:rsidR="002F1C54" w:rsidRPr="00CA7227" w:rsidRDefault="002F1C54" w:rsidP="00D73F13">
            <w:pPr>
              <w:jc w:val="center"/>
              <w:rPr>
                <w:rFonts w:ascii="Garamond" w:hAnsi="Garamond" w:cs="Calibri"/>
                <w:color w:val="000000"/>
                <w:sz w:val="20"/>
                <w:szCs w:val="20"/>
              </w:rPr>
            </w:pPr>
            <w:r w:rsidRPr="00CA7227">
              <w:rPr>
                <w:rFonts w:ascii="Garamond" w:hAnsi="Garamond" w:cs="Calibri"/>
                <w:color w:val="000000"/>
                <w:sz w:val="20"/>
                <w:szCs w:val="20"/>
              </w:rPr>
              <w:t>6,5</w:t>
            </w:r>
          </w:p>
        </w:tc>
      </w:tr>
      <w:tr w:rsidR="002F1C54" w:rsidRPr="00CA7227" w:rsidTr="00D73F13">
        <w:trPr>
          <w:trHeight w:val="300"/>
          <w:jc w:val="center"/>
        </w:trPr>
        <w:tc>
          <w:tcPr>
            <w:tcW w:w="3494" w:type="dxa"/>
            <w:tcBorders>
              <w:top w:val="nil"/>
              <w:left w:val="nil"/>
              <w:bottom w:val="nil"/>
              <w:right w:val="nil"/>
            </w:tcBorders>
            <w:shd w:val="clear" w:color="auto" w:fill="auto"/>
            <w:noWrap/>
            <w:vAlign w:val="center"/>
            <w:hideMark/>
          </w:tcPr>
          <w:p w:rsidR="002F1C54" w:rsidRPr="00CA7227" w:rsidRDefault="002F1C54" w:rsidP="00D73F13">
            <w:pPr>
              <w:rPr>
                <w:rFonts w:ascii="Garamond" w:hAnsi="Garamond" w:cs="Calibri"/>
                <w:b/>
                <w:bCs/>
                <w:color w:val="000000"/>
                <w:sz w:val="18"/>
                <w:szCs w:val="18"/>
              </w:rPr>
            </w:pPr>
            <w:r w:rsidRPr="00CA7227">
              <w:rPr>
                <w:rFonts w:ascii="Garamond" w:hAnsi="Garamond" w:cs="Calibri"/>
                <w:b/>
                <w:bCs/>
                <w:color w:val="000000"/>
                <w:sz w:val="18"/>
                <w:szCs w:val="18"/>
                <w:lang w:val="en-US"/>
              </w:rPr>
              <w:t>N = 244. Bergamo anno 2010</w:t>
            </w:r>
          </w:p>
        </w:tc>
        <w:tc>
          <w:tcPr>
            <w:tcW w:w="1181" w:type="dxa"/>
            <w:tcBorders>
              <w:top w:val="nil"/>
              <w:left w:val="nil"/>
              <w:bottom w:val="nil"/>
              <w:right w:val="nil"/>
            </w:tcBorders>
            <w:shd w:val="clear" w:color="auto" w:fill="auto"/>
            <w:noWrap/>
            <w:vAlign w:val="bottom"/>
            <w:hideMark/>
          </w:tcPr>
          <w:p w:rsidR="002F1C54" w:rsidRPr="00CA7227" w:rsidRDefault="002F1C54" w:rsidP="00D73F13">
            <w:pPr>
              <w:rPr>
                <w:color w:val="000000"/>
                <w:sz w:val="20"/>
                <w:szCs w:val="20"/>
              </w:rPr>
            </w:pPr>
          </w:p>
        </w:tc>
      </w:tr>
      <w:tr w:rsidR="002F1C54" w:rsidRPr="00CA7227" w:rsidTr="00D73F13">
        <w:trPr>
          <w:trHeight w:val="80"/>
          <w:jc w:val="center"/>
        </w:trPr>
        <w:tc>
          <w:tcPr>
            <w:tcW w:w="4675" w:type="dxa"/>
            <w:gridSpan w:val="2"/>
            <w:tcBorders>
              <w:top w:val="nil"/>
              <w:left w:val="nil"/>
              <w:bottom w:val="nil"/>
              <w:right w:val="nil"/>
            </w:tcBorders>
            <w:shd w:val="clear" w:color="auto" w:fill="auto"/>
            <w:noWrap/>
            <w:vAlign w:val="center"/>
            <w:hideMark/>
          </w:tcPr>
          <w:p w:rsidR="002F1C54" w:rsidRPr="00CA7227" w:rsidRDefault="002F1C54" w:rsidP="00D73F13">
            <w:pPr>
              <w:rPr>
                <w:rFonts w:ascii="Garamond" w:hAnsi="Garamond" w:cs="Calibri"/>
                <w:b/>
                <w:bCs/>
                <w:color w:val="000000"/>
                <w:sz w:val="18"/>
                <w:szCs w:val="18"/>
              </w:rPr>
            </w:pPr>
            <w:r w:rsidRPr="00CA7227">
              <w:rPr>
                <w:rFonts w:ascii="Garamond" w:hAnsi="Garamond" w:cs="Calibri"/>
                <w:b/>
                <w:bCs/>
                <w:color w:val="000000"/>
                <w:sz w:val="18"/>
                <w:szCs w:val="18"/>
                <w:lang w:eastAsia="en-US"/>
              </w:rPr>
              <w:t>Fonte: elaborazioni IRES Morosini su dati ASR Lombardia</w:t>
            </w:r>
          </w:p>
        </w:tc>
      </w:tr>
    </w:tbl>
    <w:p w:rsidR="002F1C54" w:rsidRPr="00807021" w:rsidRDefault="002F1C54" w:rsidP="002F1C54">
      <w:pPr>
        <w:spacing w:line="360" w:lineRule="auto"/>
        <w:jc w:val="both"/>
        <w:rPr>
          <w:color w:val="000000"/>
          <w:highlight w:val="yellow"/>
        </w:rPr>
      </w:pPr>
    </w:p>
    <w:p w:rsidR="002F1C54" w:rsidRPr="00D44C52" w:rsidRDefault="002F1C54" w:rsidP="002F1C54">
      <w:pPr>
        <w:spacing w:line="360" w:lineRule="auto"/>
        <w:jc w:val="both"/>
        <w:rPr>
          <w:color w:val="000000"/>
        </w:rPr>
      </w:pPr>
      <w:r w:rsidRPr="00D44C52">
        <w:rPr>
          <w:color w:val="000000"/>
        </w:rPr>
        <w:t xml:space="preserve">La tabella sottostante, invece, mostra il dato riassuntivo relativo ai 15 principali comuni della provincia di Bergamo. In modo particolare, é possibile osservare come tra i due fattori di maggiore importanza all’interno della ricerca per quanto concerne il tentativo di definire la presenza a livello territoriale di piccole e piccolissime attività economiche (il numero di ditte artigiane attive e il numero di esercizi di vicinato) sia principalmente il dato relativo agli esercizi di vicinato a presentare differenze significative all’interno delle varie realtà considerate. I valori calcolati per i </w:t>
      </w:r>
      <w:r w:rsidRPr="00D44C52">
        <w:rPr>
          <w:color w:val="000000"/>
        </w:rPr>
        <w:lastRenderedPageBreak/>
        <w:t>principali comuni della provincia, infatti, mostrano come la presenza di esercizi di vicinato si distribuisca tra i 4,9 casi ogni 1.000 residenti del comune di Dalmine fino ai 24,4 casi registrati a Bergamo.</w:t>
      </w:r>
    </w:p>
    <w:p w:rsidR="002F1C54" w:rsidRPr="00D44C52" w:rsidRDefault="002F1C54" w:rsidP="002F1C54">
      <w:pPr>
        <w:spacing w:line="360" w:lineRule="auto"/>
        <w:jc w:val="both"/>
        <w:rPr>
          <w:color w:val="000000"/>
        </w:rPr>
      </w:pPr>
      <w:r w:rsidRPr="00D44C52">
        <w:rPr>
          <w:color w:val="000000"/>
        </w:rPr>
        <w:t>Nonostante la presenza di ditte artigiana rispetto al numero di abitanti faccia registrare, nei 15 comuni su cui abbiamo focalizzato l’attenzione, una minore variabilità, riteniamo comunque necessario sottolineare Cologno al Serio e Martinengo, quali località dove la diffusione di questo tipo di aziende supera le 40 ogni 1.000 residenti.</w:t>
      </w:r>
    </w:p>
    <w:p w:rsidR="002F1C54" w:rsidRPr="00D44C52" w:rsidRDefault="002F1C54" w:rsidP="002F1C54">
      <w:pPr>
        <w:spacing w:line="360" w:lineRule="auto"/>
        <w:jc w:val="both"/>
        <w:rPr>
          <w:color w:val="000000"/>
        </w:rPr>
      </w:pPr>
    </w:p>
    <w:tbl>
      <w:tblPr>
        <w:tblW w:w="5000" w:type="pct"/>
        <w:jc w:val="center"/>
        <w:tblCellMar>
          <w:left w:w="70" w:type="dxa"/>
          <w:right w:w="70" w:type="dxa"/>
        </w:tblCellMar>
        <w:tblLook w:val="04A0"/>
      </w:tblPr>
      <w:tblGrid>
        <w:gridCol w:w="2482"/>
        <w:gridCol w:w="1701"/>
        <w:gridCol w:w="1529"/>
        <w:gridCol w:w="2194"/>
        <w:gridCol w:w="1872"/>
      </w:tblGrid>
      <w:tr w:rsidR="002F1C54" w:rsidRPr="00D44C52" w:rsidTr="00D73F13">
        <w:trPr>
          <w:trHeight w:val="269"/>
          <w:jc w:val="center"/>
        </w:trPr>
        <w:tc>
          <w:tcPr>
            <w:tcW w:w="5000" w:type="pct"/>
            <w:gridSpan w:val="5"/>
            <w:tcBorders>
              <w:top w:val="nil"/>
              <w:left w:val="nil"/>
              <w:bottom w:val="nil"/>
              <w:right w:val="nil"/>
            </w:tcBorders>
            <w:shd w:val="clear" w:color="auto" w:fill="auto"/>
            <w:noWrap/>
            <w:vAlign w:val="center"/>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lang w:eastAsia="en-US"/>
              </w:rPr>
              <w:t>Presenza attività economiche ogni 1000 abitanti per tipologia. Comuni principali della provincia di Bergamo</w:t>
            </w:r>
          </w:p>
        </w:tc>
      </w:tr>
      <w:tr w:rsidR="002F1C54" w:rsidRPr="00D44C52" w:rsidTr="00D73F13">
        <w:trPr>
          <w:trHeight w:val="269"/>
          <w:jc w:val="center"/>
        </w:trPr>
        <w:tc>
          <w:tcPr>
            <w:tcW w:w="1269" w:type="pct"/>
            <w:tcBorders>
              <w:top w:val="single" w:sz="4" w:space="0" w:color="auto"/>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 </w:t>
            </w:r>
          </w:p>
        </w:tc>
        <w:tc>
          <w:tcPr>
            <w:tcW w:w="870" w:type="pct"/>
            <w:tcBorders>
              <w:top w:val="single" w:sz="4" w:space="0" w:color="auto"/>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lang w:val="en-US"/>
              </w:rPr>
              <w:t>Imprese</w:t>
            </w:r>
          </w:p>
        </w:tc>
        <w:tc>
          <w:tcPr>
            <w:tcW w:w="782" w:type="pct"/>
            <w:tcBorders>
              <w:top w:val="single" w:sz="4" w:space="0" w:color="auto"/>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lang w:val="en-US"/>
              </w:rPr>
              <w:t>Ditte artigiane</w:t>
            </w:r>
          </w:p>
        </w:tc>
        <w:tc>
          <w:tcPr>
            <w:tcW w:w="1122" w:type="pct"/>
            <w:tcBorders>
              <w:top w:val="single" w:sz="4" w:space="0" w:color="auto"/>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lang w:val="en-US"/>
              </w:rPr>
              <w:t>Esercizi vicinato</w:t>
            </w:r>
          </w:p>
        </w:tc>
        <w:tc>
          <w:tcPr>
            <w:tcW w:w="958" w:type="pct"/>
            <w:tcBorders>
              <w:top w:val="single" w:sz="4" w:space="0" w:color="auto"/>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lang w:val="en-US"/>
              </w:rPr>
              <w:t>Totale</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Bergamo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114,6</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21,0</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24,4</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159,9</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Treviglio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94,0</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25,1</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15,1</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134,1</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Seriate</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56,6</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20,8</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11,7</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89,1</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Dalmine</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55,6</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20,0</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4,9</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80,5</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Romano di Lombardia</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83,3</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33,1</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12,0</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128,5</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Albino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75,5</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30,3</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10,8</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116,6</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Caravaggio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78,1</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31,2</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11,2</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120,4</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Alzano Lombardo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66,4</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25,4</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9,3</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101,0</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Stezzano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55,8</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24,5</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6,2</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86,5</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Osio Sotto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69,0</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27,1</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8,5</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104,6</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Nembro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63,0</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29,5</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11,6</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104,1</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Ponte San Pietro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61,8</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21,8</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13,7</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97,3</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Cologno al Serio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82,5</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45,0</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9,3</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136,8</w:t>
            </w:r>
          </w:p>
        </w:tc>
      </w:tr>
      <w:tr w:rsidR="002F1C54" w:rsidRPr="00D44C52" w:rsidTr="00D73F13">
        <w:trPr>
          <w:trHeight w:val="269"/>
          <w:jc w:val="center"/>
        </w:trPr>
        <w:tc>
          <w:tcPr>
            <w:tcW w:w="1269"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Treviolo</w:t>
            </w:r>
          </w:p>
        </w:tc>
        <w:tc>
          <w:tcPr>
            <w:tcW w:w="870"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89,5</w:t>
            </w:r>
          </w:p>
        </w:tc>
        <w:tc>
          <w:tcPr>
            <w:tcW w:w="78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30,8</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9,5</w:t>
            </w:r>
          </w:p>
        </w:tc>
        <w:tc>
          <w:tcPr>
            <w:tcW w:w="958" w:type="pct"/>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129,8</w:t>
            </w:r>
          </w:p>
        </w:tc>
      </w:tr>
      <w:tr w:rsidR="002F1C54" w:rsidRPr="00D44C52" w:rsidTr="00D73F13">
        <w:trPr>
          <w:trHeight w:val="269"/>
          <w:jc w:val="center"/>
        </w:trPr>
        <w:tc>
          <w:tcPr>
            <w:tcW w:w="1269" w:type="pct"/>
            <w:tcBorders>
              <w:top w:val="nil"/>
              <w:left w:val="nil"/>
              <w:bottom w:val="single" w:sz="4" w:space="0" w:color="auto"/>
              <w:right w:val="nil"/>
            </w:tcBorders>
            <w:shd w:val="clear" w:color="auto" w:fill="auto"/>
            <w:noWrap/>
            <w:vAlign w:val="bottom"/>
            <w:hideMark/>
          </w:tcPr>
          <w:p w:rsidR="002F1C54" w:rsidRPr="00D44C52" w:rsidRDefault="002F1C54" w:rsidP="00D73F13">
            <w:pPr>
              <w:rPr>
                <w:rFonts w:ascii="Garamond" w:hAnsi="Garamond" w:cs="Calibri"/>
                <w:b/>
                <w:bCs/>
                <w:color w:val="000000"/>
                <w:sz w:val="20"/>
                <w:szCs w:val="20"/>
              </w:rPr>
            </w:pPr>
            <w:r w:rsidRPr="00D44C52">
              <w:rPr>
                <w:rFonts w:ascii="Garamond" w:hAnsi="Garamond" w:cs="Calibri"/>
                <w:b/>
                <w:bCs/>
                <w:color w:val="000000"/>
                <w:sz w:val="20"/>
                <w:szCs w:val="20"/>
              </w:rPr>
              <w:t>Martinengo</w:t>
            </w:r>
          </w:p>
        </w:tc>
        <w:tc>
          <w:tcPr>
            <w:tcW w:w="870" w:type="pct"/>
            <w:tcBorders>
              <w:top w:val="nil"/>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86,3</w:t>
            </w:r>
          </w:p>
        </w:tc>
        <w:tc>
          <w:tcPr>
            <w:tcW w:w="782" w:type="pct"/>
            <w:tcBorders>
              <w:top w:val="nil"/>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40,7</w:t>
            </w:r>
          </w:p>
        </w:tc>
        <w:tc>
          <w:tcPr>
            <w:tcW w:w="1122" w:type="pct"/>
            <w:tcBorders>
              <w:top w:val="nil"/>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7,6</w:t>
            </w:r>
          </w:p>
        </w:tc>
        <w:tc>
          <w:tcPr>
            <w:tcW w:w="958" w:type="pct"/>
            <w:tcBorders>
              <w:top w:val="nil"/>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134,6</w:t>
            </w:r>
          </w:p>
        </w:tc>
      </w:tr>
      <w:tr w:rsidR="002F1C54" w:rsidRPr="00D44C52" w:rsidTr="00D73F13">
        <w:trPr>
          <w:trHeight w:val="269"/>
          <w:jc w:val="center"/>
        </w:trPr>
        <w:tc>
          <w:tcPr>
            <w:tcW w:w="2920" w:type="pct"/>
            <w:gridSpan w:val="3"/>
            <w:tcBorders>
              <w:top w:val="nil"/>
              <w:left w:val="nil"/>
              <w:bottom w:val="nil"/>
              <w:right w:val="nil"/>
            </w:tcBorders>
            <w:shd w:val="clear" w:color="auto" w:fill="auto"/>
            <w:noWrap/>
            <w:vAlign w:val="center"/>
            <w:hideMark/>
          </w:tcPr>
          <w:p w:rsidR="002F1C54" w:rsidRPr="00D44C52" w:rsidRDefault="002F1C54" w:rsidP="00D73F13">
            <w:pPr>
              <w:rPr>
                <w:rFonts w:ascii="Garamond" w:hAnsi="Garamond" w:cs="Calibri"/>
                <w:b/>
                <w:bCs/>
                <w:color w:val="000000"/>
                <w:sz w:val="18"/>
                <w:szCs w:val="18"/>
              </w:rPr>
            </w:pPr>
            <w:r w:rsidRPr="00D44C52">
              <w:rPr>
                <w:rFonts w:ascii="Garamond" w:hAnsi="Garamond" w:cs="Calibri"/>
                <w:b/>
                <w:bCs/>
                <w:color w:val="000000"/>
                <w:sz w:val="18"/>
                <w:szCs w:val="18"/>
                <w:lang w:eastAsia="en-US"/>
              </w:rPr>
              <w:t>Fonte: elaborazioni IRES Morosini su dati ASR Lombardia</w:t>
            </w:r>
          </w:p>
        </w:tc>
        <w:tc>
          <w:tcPr>
            <w:tcW w:w="1122" w:type="pct"/>
            <w:tcBorders>
              <w:top w:val="nil"/>
              <w:left w:val="nil"/>
              <w:bottom w:val="nil"/>
              <w:right w:val="nil"/>
            </w:tcBorders>
            <w:shd w:val="clear" w:color="auto" w:fill="auto"/>
            <w:noWrap/>
            <w:vAlign w:val="center"/>
            <w:hideMark/>
          </w:tcPr>
          <w:p w:rsidR="002F1C54" w:rsidRPr="00D44C52" w:rsidRDefault="002F1C54" w:rsidP="00D73F13">
            <w:pPr>
              <w:rPr>
                <w:rFonts w:ascii="Garamond" w:hAnsi="Garamond" w:cs="Calibri"/>
                <w:b/>
                <w:bCs/>
                <w:color w:val="000000"/>
                <w:sz w:val="18"/>
                <w:szCs w:val="18"/>
              </w:rPr>
            </w:pPr>
          </w:p>
        </w:tc>
        <w:tc>
          <w:tcPr>
            <w:tcW w:w="958" w:type="pct"/>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color w:val="000000"/>
                <w:sz w:val="20"/>
                <w:szCs w:val="20"/>
              </w:rPr>
            </w:pPr>
          </w:p>
        </w:tc>
      </w:tr>
    </w:tbl>
    <w:p w:rsidR="002F1C54" w:rsidRPr="00807021" w:rsidRDefault="002F1C54" w:rsidP="002F1C54">
      <w:pPr>
        <w:spacing w:line="360" w:lineRule="auto"/>
        <w:jc w:val="both"/>
        <w:rPr>
          <w:color w:val="000000"/>
          <w:highlight w:val="yellow"/>
        </w:rPr>
      </w:pPr>
    </w:p>
    <w:p w:rsidR="002F1C54" w:rsidRPr="00D44C52" w:rsidRDefault="002F1C54" w:rsidP="002F1C54">
      <w:pPr>
        <w:spacing w:line="360" w:lineRule="auto"/>
        <w:jc w:val="both"/>
        <w:rPr>
          <w:color w:val="000000"/>
        </w:rPr>
      </w:pPr>
    </w:p>
    <w:p w:rsidR="002F1C54" w:rsidRPr="00D44C52" w:rsidRDefault="002F1C54" w:rsidP="002F1C54">
      <w:pPr>
        <w:spacing w:line="360" w:lineRule="auto"/>
        <w:jc w:val="both"/>
        <w:rPr>
          <w:color w:val="000000"/>
        </w:rPr>
      </w:pPr>
      <w:r w:rsidRPr="00D44C52">
        <w:rPr>
          <w:color w:val="000000"/>
        </w:rPr>
        <w:t>Nella sezione che segue, invece, faremo riferimento al dato relativo all’importanza a livello comunale dei settori economici che la letteratura indica maggiormente caratterizzati dalla presenza del fenomeno dell’evasione, vale a dire il settore agricolo, il settore edile e il settore alberghiero e della ristorazione.</w:t>
      </w:r>
    </w:p>
    <w:p w:rsidR="002F1C54" w:rsidRPr="00D44C52" w:rsidRDefault="002F1C54" w:rsidP="002F1C54">
      <w:pPr>
        <w:spacing w:line="360" w:lineRule="auto"/>
        <w:jc w:val="both"/>
        <w:rPr>
          <w:color w:val="000000"/>
        </w:rPr>
      </w:pPr>
      <w:r w:rsidRPr="00D44C52">
        <w:rPr>
          <w:color w:val="000000"/>
        </w:rPr>
        <w:t xml:space="preserve">Per quanto concerne il settore agricolo é possibile osservare una marcata divisione della provincia di </w:t>
      </w:r>
      <w:r>
        <w:rPr>
          <w:color w:val="000000"/>
        </w:rPr>
        <w:t>Bergamo</w:t>
      </w:r>
      <w:r w:rsidRPr="00D44C52">
        <w:rPr>
          <w:color w:val="000000"/>
        </w:rPr>
        <w:t xml:space="preserve"> in tre aree: un primo gruppo, formato da un quarto dei comuni che mostra un numero di ditte attive nel settore agricolo inferiore o vicino al 4,4% delle ditte totali, un secondo gruppo maggioritario che registra valori tra l’4,4% e il 13,6% e un ultimo gruppo, formato dal 25% dei comuni, che vede nel settore agricolo un asse maggiormente importante del sistema economico locale con una percentuale di ditte agricole che pesa tra il 13,6% e il 54,2% (comune di Vedeseta) del sistema imprenditoriale comunale.</w:t>
      </w:r>
    </w:p>
    <w:p w:rsidR="002F1C54" w:rsidRPr="00D44C52" w:rsidRDefault="002F1C54" w:rsidP="002F1C54">
      <w:pPr>
        <w:spacing w:line="360" w:lineRule="auto"/>
        <w:jc w:val="both"/>
        <w:rPr>
          <w:color w:val="000000"/>
        </w:rPr>
      </w:pPr>
    </w:p>
    <w:tbl>
      <w:tblPr>
        <w:tblW w:w="4675" w:type="dxa"/>
        <w:jc w:val="center"/>
        <w:tblInd w:w="55" w:type="dxa"/>
        <w:tblCellMar>
          <w:left w:w="70" w:type="dxa"/>
          <w:right w:w="70" w:type="dxa"/>
        </w:tblCellMar>
        <w:tblLook w:val="04A0"/>
      </w:tblPr>
      <w:tblGrid>
        <w:gridCol w:w="3462"/>
        <w:gridCol w:w="1213"/>
      </w:tblGrid>
      <w:tr w:rsidR="002F1C54" w:rsidRPr="00D44C52" w:rsidTr="00D73F13">
        <w:trPr>
          <w:trHeight w:val="300"/>
          <w:jc w:val="center"/>
        </w:trPr>
        <w:tc>
          <w:tcPr>
            <w:tcW w:w="4675" w:type="dxa"/>
            <w:gridSpan w:val="2"/>
            <w:tcBorders>
              <w:top w:val="nil"/>
              <w:left w:val="nil"/>
              <w:bottom w:val="nil"/>
              <w:right w:val="nil"/>
            </w:tcBorders>
            <w:shd w:val="clear" w:color="auto" w:fill="auto"/>
            <w:noWrap/>
            <w:vAlign w:val="bottom"/>
            <w:hideMark/>
          </w:tcPr>
          <w:p w:rsidR="002F1C54" w:rsidRPr="00D44C52" w:rsidRDefault="002F1C54" w:rsidP="00D73F13">
            <w:pPr>
              <w:rPr>
                <w:rFonts w:ascii="Garamond" w:hAnsi="Garamond" w:cs="Calibri"/>
                <w:b/>
                <w:bCs/>
                <w:sz w:val="20"/>
                <w:szCs w:val="20"/>
              </w:rPr>
            </w:pPr>
            <w:r w:rsidRPr="00D44C52">
              <w:rPr>
                <w:rFonts w:ascii="Garamond" w:hAnsi="Garamond" w:cs="Calibri"/>
                <w:b/>
                <w:bCs/>
                <w:sz w:val="20"/>
                <w:szCs w:val="20"/>
              </w:rPr>
              <w:lastRenderedPageBreak/>
              <w:t>Percentuale imprese nel settore agricolo</w:t>
            </w:r>
          </w:p>
        </w:tc>
      </w:tr>
      <w:tr w:rsidR="002F1C54" w:rsidRPr="00D44C52" w:rsidTr="00D73F13">
        <w:trPr>
          <w:trHeight w:val="300"/>
          <w:jc w:val="center"/>
        </w:trPr>
        <w:tc>
          <w:tcPr>
            <w:tcW w:w="3462" w:type="dxa"/>
            <w:tcBorders>
              <w:top w:val="single" w:sz="4" w:space="0" w:color="auto"/>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 </w:t>
            </w:r>
          </w:p>
        </w:tc>
        <w:tc>
          <w:tcPr>
            <w:tcW w:w="1213" w:type="dxa"/>
            <w:tcBorders>
              <w:top w:val="single" w:sz="4" w:space="0" w:color="auto"/>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Numero</w:t>
            </w:r>
          </w:p>
        </w:tc>
      </w:tr>
      <w:tr w:rsidR="002F1C54" w:rsidRPr="00D44C52" w:rsidTr="00D73F13">
        <w:trPr>
          <w:trHeight w:val="300"/>
          <w:jc w:val="center"/>
        </w:trPr>
        <w:tc>
          <w:tcPr>
            <w:tcW w:w="3462"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10%</w:t>
            </w:r>
          </w:p>
        </w:tc>
        <w:tc>
          <w:tcPr>
            <w:tcW w:w="1213"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2,4</w:t>
            </w:r>
          </w:p>
        </w:tc>
      </w:tr>
      <w:tr w:rsidR="002F1C54" w:rsidRPr="00D44C52" w:rsidTr="00D73F13">
        <w:trPr>
          <w:trHeight w:val="300"/>
          <w:jc w:val="center"/>
        </w:trPr>
        <w:tc>
          <w:tcPr>
            <w:tcW w:w="3462"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25%</w:t>
            </w:r>
          </w:p>
        </w:tc>
        <w:tc>
          <w:tcPr>
            <w:tcW w:w="1213"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4,4</w:t>
            </w:r>
          </w:p>
        </w:tc>
      </w:tr>
      <w:tr w:rsidR="002F1C54" w:rsidRPr="00D44C52" w:rsidTr="00D73F13">
        <w:trPr>
          <w:trHeight w:val="300"/>
          <w:jc w:val="center"/>
        </w:trPr>
        <w:tc>
          <w:tcPr>
            <w:tcW w:w="3462"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50% (mediana)</w:t>
            </w:r>
          </w:p>
        </w:tc>
        <w:tc>
          <w:tcPr>
            <w:tcW w:w="1213"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8,1</w:t>
            </w:r>
          </w:p>
        </w:tc>
      </w:tr>
      <w:tr w:rsidR="002F1C54" w:rsidRPr="00D44C52" w:rsidTr="00D73F13">
        <w:trPr>
          <w:trHeight w:val="300"/>
          <w:jc w:val="center"/>
        </w:trPr>
        <w:tc>
          <w:tcPr>
            <w:tcW w:w="3462"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75%</w:t>
            </w:r>
          </w:p>
        </w:tc>
        <w:tc>
          <w:tcPr>
            <w:tcW w:w="1213"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13,6</w:t>
            </w:r>
          </w:p>
        </w:tc>
      </w:tr>
      <w:tr w:rsidR="002F1C54" w:rsidRPr="00D44C52" w:rsidTr="00D73F13">
        <w:trPr>
          <w:trHeight w:val="300"/>
          <w:jc w:val="center"/>
        </w:trPr>
        <w:tc>
          <w:tcPr>
            <w:tcW w:w="3462" w:type="dxa"/>
            <w:tcBorders>
              <w:top w:val="nil"/>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90%</w:t>
            </w:r>
          </w:p>
        </w:tc>
        <w:tc>
          <w:tcPr>
            <w:tcW w:w="1213"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20,8</w:t>
            </w:r>
          </w:p>
        </w:tc>
      </w:tr>
      <w:tr w:rsidR="002F1C54" w:rsidRPr="00D44C52" w:rsidTr="00D73F13">
        <w:trPr>
          <w:trHeight w:val="300"/>
          <w:jc w:val="center"/>
        </w:trPr>
        <w:tc>
          <w:tcPr>
            <w:tcW w:w="3462"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Minimo</w:t>
            </w:r>
          </w:p>
        </w:tc>
        <w:tc>
          <w:tcPr>
            <w:tcW w:w="1213" w:type="dxa"/>
            <w:tcBorders>
              <w:top w:val="single" w:sz="4" w:space="0" w:color="auto"/>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0,0</w:t>
            </w:r>
          </w:p>
        </w:tc>
      </w:tr>
      <w:tr w:rsidR="002F1C54" w:rsidRPr="00D44C52" w:rsidTr="00D73F13">
        <w:trPr>
          <w:trHeight w:val="300"/>
          <w:jc w:val="center"/>
        </w:trPr>
        <w:tc>
          <w:tcPr>
            <w:tcW w:w="3462"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Massimo (Vedeseta)</w:t>
            </w:r>
          </w:p>
        </w:tc>
        <w:tc>
          <w:tcPr>
            <w:tcW w:w="1213"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54,2</w:t>
            </w:r>
          </w:p>
        </w:tc>
      </w:tr>
      <w:tr w:rsidR="002F1C54" w:rsidRPr="00D44C52" w:rsidTr="00D73F13">
        <w:trPr>
          <w:trHeight w:val="300"/>
          <w:jc w:val="center"/>
        </w:trPr>
        <w:tc>
          <w:tcPr>
            <w:tcW w:w="3462"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Media</w:t>
            </w:r>
          </w:p>
        </w:tc>
        <w:tc>
          <w:tcPr>
            <w:tcW w:w="1213" w:type="dxa"/>
            <w:tcBorders>
              <w:top w:val="nil"/>
              <w:left w:val="nil"/>
              <w:bottom w:val="nil"/>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10,5</w:t>
            </w:r>
          </w:p>
        </w:tc>
      </w:tr>
      <w:tr w:rsidR="002F1C54" w:rsidRPr="00D44C52" w:rsidTr="00D73F13">
        <w:trPr>
          <w:trHeight w:val="300"/>
          <w:jc w:val="center"/>
        </w:trPr>
        <w:tc>
          <w:tcPr>
            <w:tcW w:w="3462" w:type="dxa"/>
            <w:tcBorders>
              <w:top w:val="nil"/>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b/>
                <w:bCs/>
                <w:color w:val="000000"/>
                <w:sz w:val="20"/>
                <w:szCs w:val="20"/>
              </w:rPr>
            </w:pPr>
            <w:r w:rsidRPr="00D44C52">
              <w:rPr>
                <w:rFonts w:ascii="Garamond" w:hAnsi="Garamond" w:cs="Calibri"/>
                <w:b/>
                <w:bCs/>
                <w:color w:val="000000"/>
                <w:sz w:val="20"/>
                <w:szCs w:val="20"/>
              </w:rPr>
              <w:t>Deviazione Standard</w:t>
            </w:r>
          </w:p>
        </w:tc>
        <w:tc>
          <w:tcPr>
            <w:tcW w:w="1213" w:type="dxa"/>
            <w:tcBorders>
              <w:top w:val="nil"/>
              <w:left w:val="nil"/>
              <w:bottom w:val="single" w:sz="4" w:space="0" w:color="auto"/>
              <w:right w:val="nil"/>
            </w:tcBorders>
            <w:shd w:val="clear" w:color="auto" w:fill="auto"/>
            <w:noWrap/>
            <w:vAlign w:val="center"/>
            <w:hideMark/>
          </w:tcPr>
          <w:p w:rsidR="002F1C54" w:rsidRPr="00D44C52" w:rsidRDefault="002F1C54" w:rsidP="00D73F13">
            <w:pPr>
              <w:jc w:val="center"/>
              <w:rPr>
                <w:rFonts w:ascii="Garamond" w:hAnsi="Garamond" w:cs="Calibri"/>
                <w:color w:val="000000"/>
                <w:sz w:val="20"/>
                <w:szCs w:val="20"/>
              </w:rPr>
            </w:pPr>
            <w:r w:rsidRPr="00D44C52">
              <w:rPr>
                <w:rFonts w:ascii="Garamond" w:hAnsi="Garamond" w:cs="Calibri"/>
                <w:color w:val="000000"/>
                <w:sz w:val="20"/>
                <w:szCs w:val="20"/>
              </w:rPr>
              <w:t>9,0</w:t>
            </w:r>
          </w:p>
        </w:tc>
      </w:tr>
      <w:tr w:rsidR="002F1C54" w:rsidRPr="00D44C52" w:rsidTr="00D73F13">
        <w:trPr>
          <w:trHeight w:val="300"/>
          <w:jc w:val="center"/>
        </w:trPr>
        <w:tc>
          <w:tcPr>
            <w:tcW w:w="3462" w:type="dxa"/>
            <w:tcBorders>
              <w:top w:val="nil"/>
              <w:left w:val="nil"/>
              <w:bottom w:val="nil"/>
              <w:right w:val="nil"/>
            </w:tcBorders>
            <w:shd w:val="clear" w:color="auto" w:fill="auto"/>
            <w:noWrap/>
            <w:vAlign w:val="center"/>
            <w:hideMark/>
          </w:tcPr>
          <w:p w:rsidR="002F1C54" w:rsidRPr="00D44C52" w:rsidRDefault="002F1C54" w:rsidP="00D73F13">
            <w:pPr>
              <w:rPr>
                <w:rFonts w:ascii="Garamond" w:hAnsi="Garamond" w:cs="Calibri"/>
                <w:b/>
                <w:bCs/>
                <w:color w:val="000000"/>
                <w:sz w:val="18"/>
                <w:szCs w:val="18"/>
              </w:rPr>
            </w:pPr>
            <w:r w:rsidRPr="00D44C52">
              <w:rPr>
                <w:rFonts w:ascii="Garamond" w:hAnsi="Garamond" w:cs="Calibri"/>
                <w:b/>
                <w:bCs/>
                <w:color w:val="000000"/>
                <w:sz w:val="18"/>
                <w:szCs w:val="18"/>
                <w:lang w:val="en-US"/>
              </w:rPr>
              <w:t>N = 244. Bergamo anno 2010</w:t>
            </w:r>
          </w:p>
        </w:tc>
        <w:tc>
          <w:tcPr>
            <w:tcW w:w="1213" w:type="dxa"/>
            <w:tcBorders>
              <w:top w:val="nil"/>
              <w:left w:val="nil"/>
              <w:bottom w:val="nil"/>
              <w:right w:val="nil"/>
            </w:tcBorders>
            <w:shd w:val="clear" w:color="auto" w:fill="auto"/>
            <w:noWrap/>
            <w:vAlign w:val="bottom"/>
            <w:hideMark/>
          </w:tcPr>
          <w:p w:rsidR="002F1C54" w:rsidRPr="00D44C52" w:rsidRDefault="002F1C54" w:rsidP="00D73F13">
            <w:pPr>
              <w:rPr>
                <w:color w:val="000000"/>
                <w:sz w:val="20"/>
                <w:szCs w:val="20"/>
              </w:rPr>
            </w:pPr>
          </w:p>
        </w:tc>
      </w:tr>
      <w:tr w:rsidR="002F1C54" w:rsidRPr="00D44C52" w:rsidTr="00D73F13">
        <w:trPr>
          <w:trHeight w:val="80"/>
          <w:jc w:val="center"/>
        </w:trPr>
        <w:tc>
          <w:tcPr>
            <w:tcW w:w="4675" w:type="dxa"/>
            <w:gridSpan w:val="2"/>
            <w:tcBorders>
              <w:top w:val="nil"/>
              <w:left w:val="nil"/>
              <w:bottom w:val="nil"/>
              <w:right w:val="nil"/>
            </w:tcBorders>
            <w:shd w:val="clear" w:color="auto" w:fill="auto"/>
            <w:noWrap/>
            <w:vAlign w:val="center"/>
            <w:hideMark/>
          </w:tcPr>
          <w:p w:rsidR="002F1C54" w:rsidRPr="00D44C52" w:rsidRDefault="002F1C54" w:rsidP="00D73F13">
            <w:pPr>
              <w:rPr>
                <w:rFonts w:ascii="Garamond" w:hAnsi="Garamond" w:cs="Calibri"/>
                <w:b/>
                <w:bCs/>
                <w:color w:val="000000"/>
                <w:sz w:val="18"/>
                <w:szCs w:val="18"/>
              </w:rPr>
            </w:pPr>
            <w:r w:rsidRPr="00D44C52">
              <w:rPr>
                <w:rFonts w:ascii="Garamond" w:hAnsi="Garamond" w:cs="Calibri"/>
                <w:b/>
                <w:bCs/>
                <w:color w:val="000000"/>
                <w:sz w:val="18"/>
                <w:szCs w:val="18"/>
                <w:lang w:eastAsia="en-US"/>
              </w:rPr>
              <w:t>Fonte: elaborazioni IRES Morosini su dati ASR Lombardia</w:t>
            </w:r>
          </w:p>
        </w:tc>
      </w:tr>
    </w:tbl>
    <w:p w:rsidR="002F1C54" w:rsidRPr="00807021" w:rsidRDefault="002F1C54" w:rsidP="002F1C54">
      <w:pPr>
        <w:spacing w:line="360" w:lineRule="auto"/>
        <w:jc w:val="both"/>
        <w:rPr>
          <w:color w:val="000000"/>
          <w:highlight w:val="yellow"/>
        </w:rPr>
      </w:pPr>
    </w:p>
    <w:p w:rsidR="002F1C54" w:rsidRDefault="002F1C54" w:rsidP="002F1C54">
      <w:pPr>
        <w:spacing w:line="360" w:lineRule="auto"/>
        <w:jc w:val="both"/>
        <w:rPr>
          <w:color w:val="000000"/>
        </w:rPr>
      </w:pPr>
      <w:r w:rsidRPr="00D03DF0">
        <w:rPr>
          <w:color w:val="000000"/>
        </w:rPr>
        <w:t xml:space="preserve">Anche per quanto concerne il settore edile esistono rilevanti differenze a livello locale, ad indicare come i comuni abbiano caratteristiche piuttosto evidenti di specializzazione in settori economici differenti. </w:t>
      </w:r>
      <w:r>
        <w:rPr>
          <w:color w:val="000000"/>
        </w:rPr>
        <w:t>In questo settore</w:t>
      </w:r>
      <w:r w:rsidRPr="00D03DF0">
        <w:rPr>
          <w:color w:val="000000"/>
        </w:rPr>
        <w:t xml:space="preserve">, pur essendo diffuso in modo significativo in quasi tutte le realtà considerate, come ricordato la provincia di </w:t>
      </w:r>
      <w:r>
        <w:rPr>
          <w:color w:val="000000"/>
        </w:rPr>
        <w:t>Bergamo</w:t>
      </w:r>
      <w:r w:rsidRPr="00D03DF0">
        <w:rPr>
          <w:color w:val="000000"/>
        </w:rPr>
        <w:t xml:space="preserve"> si caratterizza globalmente per un’</w:t>
      </w:r>
      <w:r>
        <w:rPr>
          <w:color w:val="000000"/>
        </w:rPr>
        <w:t xml:space="preserve">elevata diffusione delle aziende nel campo </w:t>
      </w:r>
      <w:r w:rsidRPr="00D03DF0">
        <w:rPr>
          <w:color w:val="000000"/>
        </w:rPr>
        <w:t>d</w:t>
      </w:r>
      <w:r>
        <w:rPr>
          <w:color w:val="000000"/>
        </w:rPr>
        <w:t>ell’edilizia</w:t>
      </w:r>
      <w:r w:rsidRPr="00D03DF0">
        <w:rPr>
          <w:color w:val="000000"/>
        </w:rPr>
        <w:t>, é possibile osservare come nel 25% dei casi il peso di tale attività sia inferiore al 20,5% mentre nel 10% dei comuni della provincia la diffusione del settore edile superi il 39% con diverse realtà locali</w:t>
      </w:r>
      <w:r w:rsidRPr="00D03DF0">
        <w:rPr>
          <w:rStyle w:val="Rimandonotaapidipagina"/>
          <w:rFonts w:eastAsiaTheme="majorEastAsia"/>
          <w:color w:val="000000"/>
        </w:rPr>
        <w:footnoteReference w:id="8"/>
      </w:r>
      <w:r w:rsidRPr="00D03DF0">
        <w:rPr>
          <w:color w:val="000000"/>
        </w:rPr>
        <w:t xml:space="preserve"> con incidenza al di sopra del 45% .</w:t>
      </w:r>
      <w:r>
        <w:rPr>
          <w:color w:val="000000"/>
        </w:rPr>
        <w:t xml:space="preserve"> </w:t>
      </w:r>
    </w:p>
    <w:p w:rsidR="002F1C54" w:rsidRPr="00807021" w:rsidRDefault="002F1C54" w:rsidP="002F1C54">
      <w:pPr>
        <w:spacing w:line="360" w:lineRule="auto"/>
        <w:jc w:val="both"/>
        <w:rPr>
          <w:color w:val="000000"/>
          <w:highlight w:val="yellow"/>
        </w:rPr>
      </w:pPr>
    </w:p>
    <w:tbl>
      <w:tblPr>
        <w:tblW w:w="4693" w:type="dxa"/>
        <w:jc w:val="center"/>
        <w:tblInd w:w="55" w:type="dxa"/>
        <w:tblCellMar>
          <w:left w:w="70" w:type="dxa"/>
          <w:right w:w="70" w:type="dxa"/>
        </w:tblCellMar>
        <w:tblLook w:val="04A0"/>
      </w:tblPr>
      <w:tblGrid>
        <w:gridCol w:w="3339"/>
        <w:gridCol w:w="1354"/>
      </w:tblGrid>
      <w:tr w:rsidR="002F1C54" w:rsidRPr="00327E09" w:rsidTr="00D73F13">
        <w:trPr>
          <w:trHeight w:val="300"/>
          <w:jc w:val="center"/>
        </w:trPr>
        <w:tc>
          <w:tcPr>
            <w:tcW w:w="4693" w:type="dxa"/>
            <w:gridSpan w:val="2"/>
            <w:tcBorders>
              <w:top w:val="nil"/>
              <w:left w:val="nil"/>
              <w:bottom w:val="nil"/>
              <w:right w:val="nil"/>
            </w:tcBorders>
            <w:shd w:val="clear" w:color="auto" w:fill="auto"/>
            <w:noWrap/>
            <w:vAlign w:val="bottom"/>
            <w:hideMark/>
          </w:tcPr>
          <w:p w:rsidR="002F1C54" w:rsidRPr="00327E09" w:rsidRDefault="002F1C54" w:rsidP="00D73F13">
            <w:pPr>
              <w:rPr>
                <w:rFonts w:ascii="Garamond" w:hAnsi="Garamond" w:cs="Calibri"/>
                <w:b/>
                <w:bCs/>
                <w:sz w:val="20"/>
                <w:szCs w:val="20"/>
              </w:rPr>
            </w:pPr>
            <w:r w:rsidRPr="00327E09">
              <w:rPr>
                <w:rFonts w:ascii="Garamond" w:hAnsi="Garamond" w:cs="Calibri"/>
                <w:b/>
                <w:bCs/>
                <w:sz w:val="20"/>
                <w:szCs w:val="20"/>
              </w:rPr>
              <w:t>Percentuale imprese nel settore edile</w:t>
            </w:r>
          </w:p>
        </w:tc>
      </w:tr>
      <w:tr w:rsidR="002F1C54" w:rsidRPr="00327E09" w:rsidTr="00D73F13">
        <w:trPr>
          <w:trHeight w:val="300"/>
          <w:jc w:val="center"/>
        </w:trPr>
        <w:tc>
          <w:tcPr>
            <w:tcW w:w="3339" w:type="dxa"/>
            <w:tcBorders>
              <w:top w:val="single" w:sz="4" w:space="0" w:color="auto"/>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 </w:t>
            </w:r>
          </w:p>
        </w:tc>
        <w:tc>
          <w:tcPr>
            <w:tcW w:w="1354" w:type="dxa"/>
            <w:tcBorders>
              <w:top w:val="single" w:sz="4" w:space="0" w:color="auto"/>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Numero</w:t>
            </w:r>
          </w:p>
        </w:tc>
      </w:tr>
      <w:tr w:rsidR="002F1C54" w:rsidRPr="00327E09"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10%</w:t>
            </w:r>
          </w:p>
        </w:tc>
        <w:tc>
          <w:tcPr>
            <w:tcW w:w="1354"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16,4</w:t>
            </w:r>
          </w:p>
        </w:tc>
      </w:tr>
      <w:tr w:rsidR="002F1C54" w:rsidRPr="00327E09"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25%</w:t>
            </w:r>
          </w:p>
        </w:tc>
        <w:tc>
          <w:tcPr>
            <w:tcW w:w="1354"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20,5</w:t>
            </w:r>
          </w:p>
        </w:tc>
      </w:tr>
      <w:tr w:rsidR="002F1C54" w:rsidRPr="00327E09"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50% (mediana)</w:t>
            </w:r>
          </w:p>
        </w:tc>
        <w:tc>
          <w:tcPr>
            <w:tcW w:w="1354"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26,0</w:t>
            </w:r>
          </w:p>
        </w:tc>
      </w:tr>
      <w:tr w:rsidR="002F1C54" w:rsidRPr="00327E09"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75%</w:t>
            </w:r>
          </w:p>
        </w:tc>
        <w:tc>
          <w:tcPr>
            <w:tcW w:w="1354"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32,6</w:t>
            </w:r>
          </w:p>
        </w:tc>
      </w:tr>
      <w:tr w:rsidR="002F1C54" w:rsidRPr="00327E09" w:rsidTr="00D73F13">
        <w:trPr>
          <w:trHeight w:val="300"/>
          <w:jc w:val="center"/>
        </w:trPr>
        <w:tc>
          <w:tcPr>
            <w:tcW w:w="3339" w:type="dxa"/>
            <w:tcBorders>
              <w:top w:val="nil"/>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90%</w:t>
            </w:r>
          </w:p>
        </w:tc>
        <w:tc>
          <w:tcPr>
            <w:tcW w:w="1354"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39,4</w:t>
            </w:r>
          </w:p>
        </w:tc>
      </w:tr>
      <w:tr w:rsidR="002F1C54" w:rsidRPr="00327E09"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Minimo (Foppolo)</w:t>
            </w:r>
          </w:p>
        </w:tc>
        <w:tc>
          <w:tcPr>
            <w:tcW w:w="1354" w:type="dxa"/>
            <w:tcBorders>
              <w:top w:val="single" w:sz="4" w:space="0" w:color="auto"/>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2,9</w:t>
            </w:r>
          </w:p>
        </w:tc>
      </w:tr>
      <w:tr w:rsidR="002F1C54" w:rsidRPr="00327E09"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Massimo (Cornalba)</w:t>
            </w:r>
          </w:p>
        </w:tc>
        <w:tc>
          <w:tcPr>
            <w:tcW w:w="1354"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78,6</w:t>
            </w:r>
          </w:p>
        </w:tc>
      </w:tr>
      <w:tr w:rsidR="002F1C54" w:rsidRPr="00327E09"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Media</w:t>
            </w:r>
          </w:p>
        </w:tc>
        <w:tc>
          <w:tcPr>
            <w:tcW w:w="1354"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27,0</w:t>
            </w:r>
          </w:p>
        </w:tc>
      </w:tr>
      <w:tr w:rsidR="002F1C54" w:rsidRPr="00327E09" w:rsidTr="00D73F13">
        <w:trPr>
          <w:trHeight w:val="300"/>
          <w:jc w:val="center"/>
        </w:trPr>
        <w:tc>
          <w:tcPr>
            <w:tcW w:w="3339" w:type="dxa"/>
            <w:tcBorders>
              <w:top w:val="nil"/>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Deviazione Standard</w:t>
            </w:r>
          </w:p>
        </w:tc>
        <w:tc>
          <w:tcPr>
            <w:tcW w:w="1354" w:type="dxa"/>
            <w:tcBorders>
              <w:top w:val="nil"/>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9,3</w:t>
            </w:r>
          </w:p>
        </w:tc>
      </w:tr>
      <w:tr w:rsidR="002F1C54" w:rsidRPr="00327E09" w:rsidTr="00D73F13">
        <w:trPr>
          <w:trHeight w:val="300"/>
          <w:jc w:val="center"/>
        </w:trPr>
        <w:tc>
          <w:tcPr>
            <w:tcW w:w="3339" w:type="dxa"/>
            <w:tcBorders>
              <w:top w:val="nil"/>
              <w:left w:val="nil"/>
              <w:bottom w:val="nil"/>
              <w:right w:val="nil"/>
            </w:tcBorders>
            <w:shd w:val="clear" w:color="auto" w:fill="auto"/>
            <w:noWrap/>
            <w:vAlign w:val="center"/>
            <w:hideMark/>
          </w:tcPr>
          <w:p w:rsidR="002F1C54" w:rsidRPr="00327E09" w:rsidRDefault="002F1C54" w:rsidP="00D73F13">
            <w:pPr>
              <w:rPr>
                <w:rFonts w:ascii="Garamond" w:hAnsi="Garamond" w:cs="Calibri"/>
                <w:b/>
                <w:bCs/>
                <w:color w:val="000000"/>
                <w:sz w:val="18"/>
                <w:szCs w:val="18"/>
              </w:rPr>
            </w:pPr>
            <w:r w:rsidRPr="00327E09">
              <w:rPr>
                <w:rFonts w:ascii="Garamond" w:hAnsi="Garamond" w:cs="Calibri"/>
                <w:b/>
                <w:bCs/>
                <w:color w:val="000000"/>
                <w:sz w:val="18"/>
                <w:szCs w:val="18"/>
                <w:lang w:val="en-US"/>
              </w:rPr>
              <w:t>N = 244. Bergamo anno 2010</w:t>
            </w:r>
          </w:p>
        </w:tc>
        <w:tc>
          <w:tcPr>
            <w:tcW w:w="1354" w:type="dxa"/>
            <w:tcBorders>
              <w:top w:val="nil"/>
              <w:left w:val="nil"/>
              <w:bottom w:val="nil"/>
              <w:right w:val="nil"/>
            </w:tcBorders>
            <w:shd w:val="clear" w:color="auto" w:fill="auto"/>
            <w:noWrap/>
            <w:vAlign w:val="bottom"/>
            <w:hideMark/>
          </w:tcPr>
          <w:p w:rsidR="002F1C54" w:rsidRPr="00327E09" w:rsidRDefault="002F1C54" w:rsidP="00D73F13">
            <w:pPr>
              <w:rPr>
                <w:color w:val="000000"/>
                <w:sz w:val="20"/>
                <w:szCs w:val="20"/>
              </w:rPr>
            </w:pPr>
          </w:p>
        </w:tc>
      </w:tr>
      <w:tr w:rsidR="002F1C54" w:rsidRPr="007E6D9D" w:rsidTr="00D73F13">
        <w:trPr>
          <w:trHeight w:val="80"/>
          <w:jc w:val="center"/>
        </w:trPr>
        <w:tc>
          <w:tcPr>
            <w:tcW w:w="4693" w:type="dxa"/>
            <w:gridSpan w:val="2"/>
            <w:tcBorders>
              <w:top w:val="nil"/>
              <w:left w:val="nil"/>
              <w:bottom w:val="nil"/>
              <w:right w:val="nil"/>
            </w:tcBorders>
            <w:shd w:val="clear" w:color="auto" w:fill="auto"/>
            <w:noWrap/>
            <w:vAlign w:val="center"/>
            <w:hideMark/>
          </w:tcPr>
          <w:p w:rsidR="002F1C54" w:rsidRPr="007E6D9D" w:rsidRDefault="002F1C54" w:rsidP="00D73F13">
            <w:pPr>
              <w:rPr>
                <w:rFonts w:ascii="Garamond" w:hAnsi="Garamond" w:cs="Calibri"/>
                <w:b/>
                <w:bCs/>
                <w:color w:val="000000"/>
                <w:sz w:val="18"/>
                <w:szCs w:val="18"/>
              </w:rPr>
            </w:pPr>
            <w:r w:rsidRPr="00327E09">
              <w:rPr>
                <w:rFonts w:ascii="Garamond" w:hAnsi="Garamond" w:cs="Calibri"/>
                <w:b/>
                <w:bCs/>
                <w:color w:val="000000"/>
                <w:sz w:val="18"/>
                <w:szCs w:val="18"/>
                <w:lang w:eastAsia="en-US"/>
              </w:rPr>
              <w:t>Fonte: elaborazioni IRES Morosini su dati ASR Lombardia</w:t>
            </w:r>
          </w:p>
        </w:tc>
      </w:tr>
    </w:tbl>
    <w:p w:rsidR="002F1C54" w:rsidRPr="00807021" w:rsidRDefault="002F1C54" w:rsidP="002F1C54">
      <w:pPr>
        <w:spacing w:line="360" w:lineRule="auto"/>
        <w:jc w:val="both"/>
        <w:rPr>
          <w:color w:val="000000"/>
          <w:highlight w:val="yellow"/>
        </w:rPr>
      </w:pPr>
    </w:p>
    <w:p w:rsidR="002F1C54" w:rsidRDefault="002F1C54" w:rsidP="002F1C54">
      <w:pPr>
        <w:spacing w:line="360" w:lineRule="auto"/>
        <w:jc w:val="both"/>
        <w:rPr>
          <w:color w:val="000000"/>
          <w:highlight w:val="yellow"/>
        </w:rPr>
      </w:pPr>
      <w:r>
        <w:rPr>
          <w:color w:val="000000"/>
        </w:rPr>
        <w:t>Più omogeneo, invece, il dato mostrato dal settore dell’alloggio e della ristorazione (come confermato anche dal valore più contenuto della “deviazione standard”, la quale svolge la funzione di definire il grado di variabilità del fenomeno rispetto al dato medio).</w:t>
      </w:r>
    </w:p>
    <w:p w:rsidR="002F1C54" w:rsidRPr="00807021" w:rsidRDefault="002F1C54" w:rsidP="002F1C54">
      <w:pPr>
        <w:spacing w:line="360" w:lineRule="auto"/>
        <w:jc w:val="both"/>
        <w:rPr>
          <w:color w:val="000000"/>
          <w:highlight w:val="yellow"/>
        </w:rPr>
      </w:pPr>
      <w:r>
        <w:rPr>
          <w:color w:val="000000"/>
        </w:rPr>
        <w:lastRenderedPageBreak/>
        <w:t>In questo caso, il range relativo all’80% dei comuni della provincia di Bergamo risulta oscillare tra il 3,6% e il 17,4%. Tutte le realtà che presentano elevata incidenza di imprese nel settore alberghiero e ristorazione risultano inoltre essere comuni di piccolissima dimensione, per lo più al di sotto dei 1.000 residenti.</w:t>
      </w:r>
      <w:r w:rsidRPr="00807021">
        <w:rPr>
          <w:color w:val="000000"/>
          <w:highlight w:val="yellow"/>
        </w:rPr>
        <w:t xml:space="preserve"> </w:t>
      </w:r>
    </w:p>
    <w:tbl>
      <w:tblPr>
        <w:tblW w:w="4963" w:type="dxa"/>
        <w:jc w:val="center"/>
        <w:tblInd w:w="55" w:type="dxa"/>
        <w:tblCellMar>
          <w:left w:w="70" w:type="dxa"/>
          <w:right w:w="70" w:type="dxa"/>
        </w:tblCellMar>
        <w:tblLook w:val="04A0"/>
      </w:tblPr>
      <w:tblGrid>
        <w:gridCol w:w="3682"/>
        <w:gridCol w:w="1281"/>
      </w:tblGrid>
      <w:tr w:rsidR="002F1C54" w:rsidRPr="00327E09" w:rsidTr="00D73F13">
        <w:trPr>
          <w:trHeight w:val="300"/>
          <w:jc w:val="center"/>
        </w:trPr>
        <w:tc>
          <w:tcPr>
            <w:tcW w:w="4963" w:type="dxa"/>
            <w:gridSpan w:val="2"/>
            <w:tcBorders>
              <w:top w:val="nil"/>
              <w:left w:val="nil"/>
              <w:bottom w:val="nil"/>
              <w:right w:val="nil"/>
            </w:tcBorders>
            <w:shd w:val="clear" w:color="auto" w:fill="auto"/>
            <w:noWrap/>
            <w:vAlign w:val="bottom"/>
            <w:hideMark/>
          </w:tcPr>
          <w:p w:rsidR="002F1C54" w:rsidRPr="00327E09" w:rsidRDefault="002F1C54" w:rsidP="00D73F13">
            <w:pPr>
              <w:rPr>
                <w:rFonts w:ascii="Garamond" w:hAnsi="Garamond" w:cs="Calibri"/>
                <w:b/>
                <w:bCs/>
                <w:sz w:val="20"/>
                <w:szCs w:val="20"/>
              </w:rPr>
            </w:pPr>
            <w:r w:rsidRPr="00327E09">
              <w:rPr>
                <w:rFonts w:ascii="Garamond" w:hAnsi="Garamond" w:cs="Calibri"/>
                <w:b/>
                <w:bCs/>
                <w:sz w:val="20"/>
                <w:szCs w:val="20"/>
              </w:rPr>
              <w:t>Percentuale imprese nel settore alloggio e ristorazione</w:t>
            </w:r>
          </w:p>
        </w:tc>
      </w:tr>
      <w:tr w:rsidR="002F1C54" w:rsidRPr="00327E09" w:rsidTr="00D73F13">
        <w:trPr>
          <w:trHeight w:val="300"/>
          <w:jc w:val="center"/>
        </w:trPr>
        <w:tc>
          <w:tcPr>
            <w:tcW w:w="3682" w:type="dxa"/>
            <w:tcBorders>
              <w:top w:val="single" w:sz="4" w:space="0" w:color="auto"/>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 </w:t>
            </w:r>
          </w:p>
        </w:tc>
        <w:tc>
          <w:tcPr>
            <w:tcW w:w="1281" w:type="dxa"/>
            <w:tcBorders>
              <w:top w:val="single" w:sz="4" w:space="0" w:color="auto"/>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Numero</w:t>
            </w:r>
          </w:p>
        </w:tc>
      </w:tr>
      <w:tr w:rsidR="002F1C54" w:rsidRPr="00327E09" w:rsidTr="00D73F13">
        <w:trPr>
          <w:trHeight w:val="300"/>
          <w:jc w:val="center"/>
        </w:trPr>
        <w:tc>
          <w:tcPr>
            <w:tcW w:w="3682"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10%</w:t>
            </w:r>
          </w:p>
        </w:tc>
        <w:tc>
          <w:tcPr>
            <w:tcW w:w="1281"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3,6</w:t>
            </w:r>
          </w:p>
        </w:tc>
      </w:tr>
      <w:tr w:rsidR="002F1C54" w:rsidRPr="00327E09" w:rsidTr="00D73F13">
        <w:trPr>
          <w:trHeight w:val="300"/>
          <w:jc w:val="center"/>
        </w:trPr>
        <w:tc>
          <w:tcPr>
            <w:tcW w:w="3682"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25%</w:t>
            </w:r>
          </w:p>
        </w:tc>
        <w:tc>
          <w:tcPr>
            <w:tcW w:w="1281"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4,6</w:t>
            </w:r>
          </w:p>
        </w:tc>
      </w:tr>
      <w:tr w:rsidR="002F1C54" w:rsidRPr="00327E09" w:rsidTr="00D73F13">
        <w:trPr>
          <w:trHeight w:val="300"/>
          <w:jc w:val="center"/>
        </w:trPr>
        <w:tc>
          <w:tcPr>
            <w:tcW w:w="3682"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50% (mediana)</w:t>
            </w:r>
          </w:p>
        </w:tc>
        <w:tc>
          <w:tcPr>
            <w:tcW w:w="1281"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6,2</w:t>
            </w:r>
          </w:p>
        </w:tc>
      </w:tr>
      <w:tr w:rsidR="002F1C54" w:rsidRPr="00327E09" w:rsidTr="00D73F13">
        <w:trPr>
          <w:trHeight w:val="300"/>
          <w:jc w:val="center"/>
        </w:trPr>
        <w:tc>
          <w:tcPr>
            <w:tcW w:w="3682"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75%</w:t>
            </w:r>
          </w:p>
        </w:tc>
        <w:tc>
          <w:tcPr>
            <w:tcW w:w="1281"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8,8</w:t>
            </w:r>
          </w:p>
        </w:tc>
      </w:tr>
      <w:tr w:rsidR="002F1C54" w:rsidRPr="00327E09" w:rsidTr="00D73F13">
        <w:trPr>
          <w:trHeight w:val="300"/>
          <w:jc w:val="center"/>
        </w:trPr>
        <w:tc>
          <w:tcPr>
            <w:tcW w:w="3682" w:type="dxa"/>
            <w:tcBorders>
              <w:top w:val="nil"/>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90%</w:t>
            </w:r>
          </w:p>
        </w:tc>
        <w:tc>
          <w:tcPr>
            <w:tcW w:w="1281"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17,4</w:t>
            </w:r>
          </w:p>
        </w:tc>
      </w:tr>
      <w:tr w:rsidR="002F1C54" w:rsidRPr="00327E09" w:rsidTr="00D73F13">
        <w:trPr>
          <w:trHeight w:val="300"/>
          <w:jc w:val="center"/>
        </w:trPr>
        <w:tc>
          <w:tcPr>
            <w:tcW w:w="3682"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Minimo</w:t>
            </w:r>
          </w:p>
        </w:tc>
        <w:tc>
          <w:tcPr>
            <w:tcW w:w="1281" w:type="dxa"/>
            <w:tcBorders>
              <w:top w:val="single" w:sz="4" w:space="0" w:color="auto"/>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0,0</w:t>
            </w:r>
          </w:p>
        </w:tc>
      </w:tr>
      <w:tr w:rsidR="002F1C54" w:rsidRPr="00327E09" w:rsidTr="00D73F13">
        <w:trPr>
          <w:trHeight w:val="300"/>
          <w:jc w:val="center"/>
        </w:trPr>
        <w:tc>
          <w:tcPr>
            <w:tcW w:w="3682"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Massimo</w:t>
            </w:r>
          </w:p>
        </w:tc>
        <w:tc>
          <w:tcPr>
            <w:tcW w:w="1281"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50,0</w:t>
            </w:r>
          </w:p>
        </w:tc>
      </w:tr>
      <w:tr w:rsidR="002F1C54" w:rsidRPr="00327E09" w:rsidTr="00D73F13">
        <w:trPr>
          <w:trHeight w:val="300"/>
          <w:jc w:val="center"/>
        </w:trPr>
        <w:tc>
          <w:tcPr>
            <w:tcW w:w="3682"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Media</w:t>
            </w:r>
          </w:p>
        </w:tc>
        <w:tc>
          <w:tcPr>
            <w:tcW w:w="1281" w:type="dxa"/>
            <w:tcBorders>
              <w:top w:val="nil"/>
              <w:left w:val="nil"/>
              <w:bottom w:val="nil"/>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8,4</w:t>
            </w:r>
          </w:p>
        </w:tc>
      </w:tr>
      <w:tr w:rsidR="002F1C54" w:rsidRPr="00327E09" w:rsidTr="00D73F13">
        <w:trPr>
          <w:trHeight w:val="300"/>
          <w:jc w:val="center"/>
        </w:trPr>
        <w:tc>
          <w:tcPr>
            <w:tcW w:w="3682" w:type="dxa"/>
            <w:tcBorders>
              <w:top w:val="nil"/>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b/>
                <w:bCs/>
                <w:color w:val="000000"/>
                <w:sz w:val="20"/>
                <w:szCs w:val="20"/>
              </w:rPr>
            </w:pPr>
            <w:r w:rsidRPr="00327E09">
              <w:rPr>
                <w:rFonts w:ascii="Garamond" w:hAnsi="Garamond" w:cs="Calibri"/>
                <w:b/>
                <w:bCs/>
                <w:color w:val="000000"/>
                <w:sz w:val="20"/>
                <w:szCs w:val="20"/>
              </w:rPr>
              <w:t>Deviazione Standard</w:t>
            </w:r>
          </w:p>
        </w:tc>
        <w:tc>
          <w:tcPr>
            <w:tcW w:w="1281" w:type="dxa"/>
            <w:tcBorders>
              <w:top w:val="nil"/>
              <w:left w:val="nil"/>
              <w:bottom w:val="single" w:sz="4" w:space="0" w:color="auto"/>
              <w:right w:val="nil"/>
            </w:tcBorders>
            <w:shd w:val="clear" w:color="auto" w:fill="auto"/>
            <w:noWrap/>
            <w:vAlign w:val="center"/>
            <w:hideMark/>
          </w:tcPr>
          <w:p w:rsidR="002F1C54" w:rsidRPr="00327E09" w:rsidRDefault="002F1C54" w:rsidP="00D73F13">
            <w:pPr>
              <w:jc w:val="center"/>
              <w:rPr>
                <w:rFonts w:ascii="Garamond" w:hAnsi="Garamond" w:cs="Calibri"/>
                <w:color w:val="000000"/>
                <w:sz w:val="20"/>
                <w:szCs w:val="20"/>
              </w:rPr>
            </w:pPr>
            <w:r w:rsidRPr="00327E09">
              <w:rPr>
                <w:rFonts w:ascii="Garamond" w:hAnsi="Garamond" w:cs="Calibri"/>
                <w:color w:val="000000"/>
                <w:sz w:val="20"/>
                <w:szCs w:val="20"/>
              </w:rPr>
              <w:t>7,1</w:t>
            </w:r>
          </w:p>
        </w:tc>
      </w:tr>
      <w:tr w:rsidR="002F1C54" w:rsidRPr="00327E09" w:rsidTr="00D73F13">
        <w:trPr>
          <w:trHeight w:val="300"/>
          <w:jc w:val="center"/>
        </w:trPr>
        <w:tc>
          <w:tcPr>
            <w:tcW w:w="3682" w:type="dxa"/>
            <w:tcBorders>
              <w:top w:val="nil"/>
              <w:left w:val="nil"/>
              <w:bottom w:val="nil"/>
              <w:right w:val="nil"/>
            </w:tcBorders>
            <w:shd w:val="clear" w:color="auto" w:fill="auto"/>
            <w:noWrap/>
            <w:vAlign w:val="center"/>
            <w:hideMark/>
          </w:tcPr>
          <w:p w:rsidR="002F1C54" w:rsidRPr="00327E09" w:rsidRDefault="002F1C54" w:rsidP="00D73F13">
            <w:pPr>
              <w:rPr>
                <w:rFonts w:ascii="Garamond" w:hAnsi="Garamond" w:cs="Calibri"/>
                <w:b/>
                <w:bCs/>
                <w:color w:val="000000"/>
                <w:sz w:val="18"/>
                <w:szCs w:val="18"/>
              </w:rPr>
            </w:pPr>
            <w:r w:rsidRPr="00327E09">
              <w:rPr>
                <w:rFonts w:ascii="Garamond" w:hAnsi="Garamond" w:cs="Calibri"/>
                <w:b/>
                <w:bCs/>
                <w:color w:val="000000"/>
                <w:sz w:val="18"/>
                <w:szCs w:val="18"/>
                <w:lang w:val="en-US"/>
              </w:rPr>
              <w:t>N = 244. Bergamo anno 2010</w:t>
            </w:r>
          </w:p>
        </w:tc>
        <w:tc>
          <w:tcPr>
            <w:tcW w:w="1281" w:type="dxa"/>
            <w:tcBorders>
              <w:top w:val="nil"/>
              <w:left w:val="nil"/>
              <w:bottom w:val="nil"/>
              <w:right w:val="nil"/>
            </w:tcBorders>
            <w:shd w:val="clear" w:color="auto" w:fill="auto"/>
            <w:noWrap/>
            <w:vAlign w:val="bottom"/>
            <w:hideMark/>
          </w:tcPr>
          <w:p w:rsidR="002F1C54" w:rsidRPr="00327E09" w:rsidRDefault="002F1C54" w:rsidP="00D73F13">
            <w:pPr>
              <w:rPr>
                <w:color w:val="000000"/>
                <w:sz w:val="20"/>
                <w:szCs w:val="20"/>
              </w:rPr>
            </w:pPr>
          </w:p>
        </w:tc>
      </w:tr>
      <w:tr w:rsidR="002F1C54" w:rsidRPr="00327E09" w:rsidTr="00D73F13">
        <w:trPr>
          <w:trHeight w:val="80"/>
          <w:jc w:val="center"/>
        </w:trPr>
        <w:tc>
          <w:tcPr>
            <w:tcW w:w="4963" w:type="dxa"/>
            <w:gridSpan w:val="2"/>
            <w:tcBorders>
              <w:top w:val="nil"/>
              <w:left w:val="nil"/>
              <w:bottom w:val="nil"/>
              <w:right w:val="nil"/>
            </w:tcBorders>
            <w:shd w:val="clear" w:color="auto" w:fill="auto"/>
            <w:noWrap/>
            <w:vAlign w:val="center"/>
            <w:hideMark/>
          </w:tcPr>
          <w:p w:rsidR="002F1C54" w:rsidRPr="00327E09" w:rsidRDefault="002F1C54" w:rsidP="00D73F13">
            <w:pPr>
              <w:rPr>
                <w:rFonts w:ascii="Garamond" w:hAnsi="Garamond" w:cs="Calibri"/>
                <w:b/>
                <w:bCs/>
                <w:color w:val="000000"/>
                <w:sz w:val="18"/>
                <w:szCs w:val="18"/>
              </w:rPr>
            </w:pPr>
            <w:r w:rsidRPr="00327E09">
              <w:rPr>
                <w:rFonts w:ascii="Garamond" w:hAnsi="Garamond" w:cs="Calibri"/>
                <w:b/>
                <w:bCs/>
                <w:color w:val="000000"/>
                <w:sz w:val="18"/>
                <w:szCs w:val="18"/>
                <w:lang w:eastAsia="en-US"/>
              </w:rPr>
              <w:t>Fonte: elaborazioni IRES Morosini su dati ASR Lombardia</w:t>
            </w:r>
          </w:p>
        </w:tc>
      </w:tr>
    </w:tbl>
    <w:p w:rsidR="002F1C54" w:rsidRPr="00807021" w:rsidRDefault="002F1C54" w:rsidP="002F1C54">
      <w:pPr>
        <w:spacing w:line="360" w:lineRule="auto"/>
        <w:jc w:val="both"/>
        <w:rPr>
          <w:color w:val="000000"/>
          <w:highlight w:val="yellow"/>
        </w:rPr>
      </w:pPr>
    </w:p>
    <w:p w:rsidR="002F1C54" w:rsidRPr="00807021" w:rsidRDefault="002F1C54" w:rsidP="002F1C54">
      <w:pPr>
        <w:spacing w:line="360" w:lineRule="auto"/>
        <w:jc w:val="both"/>
        <w:rPr>
          <w:color w:val="000000"/>
          <w:highlight w:val="yellow"/>
        </w:rPr>
      </w:pPr>
    </w:p>
    <w:p w:rsidR="002F1C54" w:rsidRPr="007E6D9D" w:rsidRDefault="002F1C54" w:rsidP="002F1C54">
      <w:pPr>
        <w:spacing w:line="360" w:lineRule="auto"/>
        <w:jc w:val="both"/>
        <w:rPr>
          <w:color w:val="000000"/>
        </w:rPr>
      </w:pPr>
      <w:r w:rsidRPr="007E6D9D">
        <w:rPr>
          <w:color w:val="000000"/>
        </w:rPr>
        <w:t>La tabella sottostante presenta il quadro relativo alla diffusione dei principali settori economici (in questo caso includendo anche il settore manifatturiero e del commercio) all’interno dei comuni della provincia di Bergamo con più abitanti.</w:t>
      </w:r>
    </w:p>
    <w:p w:rsidR="002F1C54" w:rsidRPr="00B1006F" w:rsidRDefault="002F1C54" w:rsidP="002F1C54">
      <w:pPr>
        <w:spacing w:line="360" w:lineRule="auto"/>
        <w:jc w:val="both"/>
        <w:rPr>
          <w:color w:val="000000"/>
          <w:highlight w:val="magenta"/>
        </w:rPr>
      </w:pPr>
    </w:p>
    <w:tbl>
      <w:tblPr>
        <w:tblW w:w="5000" w:type="pct"/>
        <w:jc w:val="center"/>
        <w:tblCellMar>
          <w:left w:w="70" w:type="dxa"/>
          <w:right w:w="70" w:type="dxa"/>
        </w:tblCellMar>
        <w:tblLook w:val="04A0"/>
      </w:tblPr>
      <w:tblGrid>
        <w:gridCol w:w="2875"/>
        <w:gridCol w:w="1178"/>
        <w:gridCol w:w="1943"/>
        <w:gridCol w:w="1094"/>
        <w:gridCol w:w="1590"/>
        <w:gridCol w:w="1098"/>
      </w:tblGrid>
      <w:tr w:rsidR="002F1C54" w:rsidRPr="00B1006F" w:rsidTr="00D73F13">
        <w:trPr>
          <w:trHeight w:val="300"/>
          <w:jc w:val="center"/>
        </w:trPr>
        <w:tc>
          <w:tcPr>
            <w:tcW w:w="5000" w:type="pct"/>
            <w:gridSpan w:val="6"/>
            <w:tcBorders>
              <w:top w:val="nil"/>
              <w:left w:val="nil"/>
              <w:bottom w:val="single" w:sz="4" w:space="0" w:color="auto"/>
              <w:right w:val="nil"/>
            </w:tcBorders>
            <w:shd w:val="clear" w:color="auto" w:fill="auto"/>
            <w:noWrap/>
            <w:vAlign w:val="center"/>
            <w:hideMark/>
          </w:tcPr>
          <w:p w:rsidR="002F1C54" w:rsidRPr="00B1006F" w:rsidRDefault="002F1C54" w:rsidP="00D73F13">
            <w:pPr>
              <w:rPr>
                <w:rFonts w:ascii="Garamond" w:hAnsi="Garamond" w:cs="Calibri"/>
                <w:color w:val="000000"/>
                <w:sz w:val="20"/>
                <w:szCs w:val="20"/>
              </w:rPr>
            </w:pPr>
            <w:r w:rsidRPr="00B1006F">
              <w:rPr>
                <w:rFonts w:ascii="Garamond" w:hAnsi="Garamond" w:cs="Calibri"/>
                <w:b/>
                <w:bCs/>
                <w:color w:val="000000"/>
                <w:sz w:val="20"/>
                <w:szCs w:val="20"/>
                <w:lang w:eastAsia="en-US"/>
              </w:rPr>
              <w:t xml:space="preserve">Incidenza % delle imprese per settore economico, sul totale delle imprese attive. Comuni principali della provincia di </w:t>
            </w:r>
            <w:r>
              <w:rPr>
                <w:rFonts w:ascii="Garamond" w:hAnsi="Garamond" w:cs="Calibri"/>
                <w:b/>
                <w:bCs/>
                <w:color w:val="000000"/>
                <w:sz w:val="20"/>
                <w:szCs w:val="20"/>
                <w:lang w:eastAsia="en-US"/>
              </w:rPr>
              <w:t>Bergamo</w:t>
            </w:r>
            <w:r w:rsidRPr="00B1006F">
              <w:rPr>
                <w:rFonts w:ascii="Garamond" w:hAnsi="Garamond" w:cs="Calibri"/>
                <w:b/>
                <w:bCs/>
                <w:color w:val="000000"/>
                <w:sz w:val="20"/>
                <w:szCs w:val="20"/>
                <w:lang w:eastAsia="en-US"/>
              </w:rPr>
              <w:t>.</w:t>
            </w:r>
          </w:p>
        </w:tc>
      </w:tr>
      <w:tr w:rsidR="002F1C54" w:rsidRPr="00B1006F" w:rsidTr="00D73F13">
        <w:trPr>
          <w:trHeight w:val="300"/>
          <w:jc w:val="center"/>
        </w:trPr>
        <w:tc>
          <w:tcPr>
            <w:tcW w:w="1476" w:type="pct"/>
            <w:tcBorders>
              <w:top w:val="nil"/>
              <w:left w:val="nil"/>
              <w:bottom w:val="single" w:sz="4" w:space="0" w:color="auto"/>
              <w:right w:val="nil"/>
            </w:tcBorders>
            <w:shd w:val="clear" w:color="auto" w:fill="auto"/>
            <w:noWrap/>
            <w:vAlign w:val="center"/>
            <w:hideMark/>
          </w:tcPr>
          <w:p w:rsidR="002F1C54" w:rsidRPr="00B1006F" w:rsidRDefault="002F1C54" w:rsidP="00D73F13">
            <w:pPr>
              <w:jc w:val="center"/>
              <w:rPr>
                <w:rFonts w:ascii="Garamond" w:hAnsi="Garamond" w:cs="Calibri"/>
                <w:b/>
                <w:bCs/>
                <w:color w:val="000000"/>
                <w:sz w:val="20"/>
                <w:szCs w:val="20"/>
              </w:rPr>
            </w:pPr>
            <w:r w:rsidRPr="00B1006F">
              <w:rPr>
                <w:rFonts w:ascii="Garamond" w:hAnsi="Garamond" w:cs="Calibri"/>
                <w:b/>
                <w:bCs/>
                <w:color w:val="000000"/>
                <w:sz w:val="20"/>
                <w:szCs w:val="20"/>
                <w:lang w:eastAsia="en-US"/>
              </w:rPr>
              <w:t> </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b/>
                <w:bCs/>
                <w:color w:val="000000"/>
                <w:sz w:val="20"/>
                <w:szCs w:val="20"/>
              </w:rPr>
            </w:pPr>
            <w:r w:rsidRPr="00B1006F">
              <w:rPr>
                <w:rFonts w:ascii="Garamond" w:hAnsi="Garamond" w:cs="Calibri"/>
                <w:b/>
                <w:bCs/>
                <w:color w:val="000000"/>
                <w:sz w:val="20"/>
                <w:szCs w:val="20"/>
                <w:lang w:val="en-US"/>
              </w:rPr>
              <w:t>Agricolo</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b/>
                <w:bCs/>
                <w:color w:val="000000"/>
                <w:sz w:val="20"/>
                <w:szCs w:val="20"/>
              </w:rPr>
            </w:pPr>
            <w:r w:rsidRPr="00B1006F">
              <w:rPr>
                <w:rFonts w:ascii="Garamond" w:hAnsi="Garamond" w:cs="Calibri"/>
                <w:b/>
                <w:bCs/>
                <w:color w:val="000000"/>
                <w:sz w:val="20"/>
                <w:szCs w:val="20"/>
                <w:lang w:val="en-US"/>
              </w:rPr>
              <w:t>Manifatturiero</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b/>
                <w:bCs/>
                <w:color w:val="000000"/>
                <w:sz w:val="20"/>
                <w:szCs w:val="20"/>
              </w:rPr>
            </w:pPr>
            <w:r w:rsidRPr="00B1006F">
              <w:rPr>
                <w:rFonts w:ascii="Garamond" w:hAnsi="Garamond" w:cs="Calibri"/>
                <w:b/>
                <w:bCs/>
                <w:color w:val="000000"/>
                <w:sz w:val="20"/>
                <w:szCs w:val="20"/>
                <w:lang w:val="en-US"/>
              </w:rPr>
              <w:t>Edilizia</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b/>
                <w:bCs/>
                <w:color w:val="000000"/>
                <w:sz w:val="20"/>
                <w:szCs w:val="20"/>
              </w:rPr>
            </w:pPr>
            <w:r w:rsidRPr="00B1006F">
              <w:rPr>
                <w:rFonts w:ascii="Garamond" w:hAnsi="Garamond" w:cs="Calibri"/>
                <w:b/>
                <w:bCs/>
                <w:color w:val="000000"/>
                <w:sz w:val="20"/>
                <w:szCs w:val="20"/>
                <w:lang w:val="en-US"/>
              </w:rPr>
              <w:t>Commercio</w:t>
            </w:r>
          </w:p>
        </w:tc>
        <w:tc>
          <w:tcPr>
            <w:tcW w:w="559" w:type="pct"/>
            <w:tcBorders>
              <w:top w:val="single" w:sz="4" w:space="0" w:color="auto"/>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b/>
                <w:bCs/>
                <w:color w:val="000000"/>
                <w:sz w:val="20"/>
                <w:szCs w:val="20"/>
              </w:rPr>
            </w:pPr>
            <w:r w:rsidRPr="00B1006F">
              <w:rPr>
                <w:rFonts w:ascii="Garamond" w:hAnsi="Garamond" w:cs="Calibri"/>
                <w:b/>
                <w:bCs/>
                <w:color w:val="000000"/>
                <w:sz w:val="20"/>
                <w:szCs w:val="20"/>
                <w:lang w:val="en-US"/>
              </w:rPr>
              <w:t>Ristorazione</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Bergamo</w:t>
            </w:r>
          </w:p>
        </w:tc>
        <w:tc>
          <w:tcPr>
            <w:tcW w:w="600" w:type="pct"/>
            <w:tcBorders>
              <w:top w:val="single" w:sz="4" w:space="0" w:color="auto"/>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1,4</w:t>
            </w:r>
          </w:p>
        </w:tc>
        <w:tc>
          <w:tcPr>
            <w:tcW w:w="995" w:type="pct"/>
            <w:tcBorders>
              <w:top w:val="single" w:sz="4" w:space="0" w:color="auto"/>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8,1</w:t>
            </w:r>
          </w:p>
        </w:tc>
        <w:tc>
          <w:tcPr>
            <w:tcW w:w="557" w:type="pct"/>
            <w:tcBorders>
              <w:top w:val="single" w:sz="4" w:space="0" w:color="auto"/>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11,9</w:t>
            </w:r>
          </w:p>
        </w:tc>
        <w:tc>
          <w:tcPr>
            <w:tcW w:w="813" w:type="pct"/>
            <w:tcBorders>
              <w:top w:val="single" w:sz="4" w:space="0" w:color="auto"/>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23,6</w:t>
            </w:r>
          </w:p>
        </w:tc>
        <w:tc>
          <w:tcPr>
            <w:tcW w:w="559" w:type="pct"/>
            <w:tcBorders>
              <w:top w:val="single" w:sz="4" w:space="0" w:color="auto"/>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6,7</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Treviglio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5,6</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12,4</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18,0</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22,4</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6,8</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Seriate</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3,5</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10,8</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20,1</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27,2</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7,2</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Dalmine</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2,3</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10,4</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20,8</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30,2</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6,8</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Romano di Lombardia</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7,1</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8,9</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31,6</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20,2</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7,4</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Albino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4,2</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11,9</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21,1</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25,6</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7,0</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Caravaggio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8,4</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17,5</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19,0</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23,8</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5,5</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Alzano Lombardo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3,8</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8,9</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21,4</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26,9</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7,1</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Stezzano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5,7</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13,1</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23,9</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25,4</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6,0</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Osio Sotto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1,4</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15,2</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20,5</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27,5</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6,7</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Nembro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3,4</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10,7</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28,7</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23,9</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6,7</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Ponte San Pietro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1,6</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13,1</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15,8</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28,9</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9,1</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Cologno al Serio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9,0</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11,7</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39,7</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16,5</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4,7</w:t>
            </w:r>
          </w:p>
        </w:tc>
      </w:tr>
      <w:tr w:rsidR="002F1C54" w:rsidRPr="00B1006F" w:rsidTr="00D73F13">
        <w:trPr>
          <w:trHeight w:val="300"/>
          <w:jc w:val="center"/>
        </w:trPr>
        <w:tc>
          <w:tcPr>
            <w:tcW w:w="1476" w:type="pct"/>
            <w:tcBorders>
              <w:top w:val="nil"/>
              <w:left w:val="nil"/>
              <w:bottom w:val="nil"/>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Treviolo</w:t>
            </w:r>
          </w:p>
        </w:tc>
        <w:tc>
          <w:tcPr>
            <w:tcW w:w="600"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3,8</w:t>
            </w:r>
          </w:p>
        </w:tc>
        <w:tc>
          <w:tcPr>
            <w:tcW w:w="995"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16,6</w:t>
            </w:r>
          </w:p>
        </w:tc>
        <w:tc>
          <w:tcPr>
            <w:tcW w:w="557"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19,0</w:t>
            </w:r>
          </w:p>
        </w:tc>
        <w:tc>
          <w:tcPr>
            <w:tcW w:w="813"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24,2</w:t>
            </w:r>
          </w:p>
        </w:tc>
        <w:tc>
          <w:tcPr>
            <w:tcW w:w="559" w:type="pct"/>
            <w:tcBorders>
              <w:top w:val="nil"/>
              <w:left w:val="nil"/>
              <w:bottom w:val="nil"/>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5,6</w:t>
            </w:r>
          </w:p>
        </w:tc>
      </w:tr>
      <w:tr w:rsidR="002F1C54" w:rsidRPr="00B1006F" w:rsidTr="00D73F13">
        <w:trPr>
          <w:trHeight w:val="300"/>
          <w:jc w:val="center"/>
        </w:trPr>
        <w:tc>
          <w:tcPr>
            <w:tcW w:w="1476" w:type="pct"/>
            <w:tcBorders>
              <w:top w:val="nil"/>
              <w:left w:val="nil"/>
              <w:bottom w:val="single" w:sz="4" w:space="0" w:color="auto"/>
              <w:right w:val="nil"/>
            </w:tcBorders>
            <w:shd w:val="clear" w:color="auto" w:fill="auto"/>
            <w:noWrap/>
            <w:vAlign w:val="bottom"/>
            <w:hideMark/>
          </w:tcPr>
          <w:p w:rsidR="002F1C54" w:rsidRPr="00B1006F" w:rsidRDefault="002F1C54" w:rsidP="00D73F13">
            <w:pPr>
              <w:rPr>
                <w:rFonts w:ascii="Garamond" w:hAnsi="Garamond" w:cs="Calibri"/>
                <w:b/>
                <w:bCs/>
                <w:color w:val="000000"/>
                <w:sz w:val="20"/>
                <w:szCs w:val="20"/>
              </w:rPr>
            </w:pPr>
            <w:r w:rsidRPr="00B1006F">
              <w:rPr>
                <w:rFonts w:ascii="Garamond" w:hAnsi="Garamond" w:cs="Calibri"/>
                <w:b/>
                <w:bCs/>
                <w:color w:val="000000"/>
                <w:sz w:val="20"/>
                <w:szCs w:val="20"/>
              </w:rPr>
              <w:t>Martinengo</w:t>
            </w:r>
          </w:p>
        </w:tc>
        <w:tc>
          <w:tcPr>
            <w:tcW w:w="600" w:type="pct"/>
            <w:tcBorders>
              <w:top w:val="nil"/>
              <w:left w:val="nil"/>
              <w:bottom w:val="single" w:sz="4" w:space="0" w:color="auto"/>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13,2</w:t>
            </w:r>
          </w:p>
        </w:tc>
        <w:tc>
          <w:tcPr>
            <w:tcW w:w="995" w:type="pct"/>
            <w:tcBorders>
              <w:top w:val="nil"/>
              <w:left w:val="nil"/>
              <w:bottom w:val="single" w:sz="4" w:space="0" w:color="auto"/>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8,3</w:t>
            </w:r>
          </w:p>
        </w:tc>
        <w:tc>
          <w:tcPr>
            <w:tcW w:w="557" w:type="pct"/>
            <w:tcBorders>
              <w:top w:val="nil"/>
              <w:left w:val="nil"/>
              <w:bottom w:val="single" w:sz="4" w:space="0" w:color="auto"/>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37,5</w:t>
            </w:r>
          </w:p>
        </w:tc>
        <w:tc>
          <w:tcPr>
            <w:tcW w:w="813" w:type="pct"/>
            <w:tcBorders>
              <w:top w:val="nil"/>
              <w:left w:val="nil"/>
              <w:bottom w:val="single" w:sz="4" w:space="0" w:color="auto"/>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15,6</w:t>
            </w:r>
          </w:p>
        </w:tc>
        <w:tc>
          <w:tcPr>
            <w:tcW w:w="559" w:type="pct"/>
            <w:tcBorders>
              <w:top w:val="nil"/>
              <w:left w:val="nil"/>
              <w:bottom w:val="single" w:sz="4" w:space="0" w:color="auto"/>
              <w:right w:val="nil"/>
            </w:tcBorders>
            <w:shd w:val="clear" w:color="auto" w:fill="auto"/>
            <w:noWrap/>
            <w:vAlign w:val="center"/>
            <w:hideMark/>
          </w:tcPr>
          <w:p w:rsidR="002F1C54" w:rsidRPr="00B1006F" w:rsidRDefault="002F1C54" w:rsidP="00D73F13">
            <w:pPr>
              <w:jc w:val="center"/>
              <w:rPr>
                <w:rFonts w:ascii="Garamond" w:hAnsi="Garamond" w:cs="Calibri"/>
                <w:color w:val="000000"/>
                <w:sz w:val="20"/>
                <w:szCs w:val="20"/>
              </w:rPr>
            </w:pPr>
            <w:r w:rsidRPr="00B1006F">
              <w:rPr>
                <w:rFonts w:ascii="Garamond" w:hAnsi="Garamond" w:cs="Calibri"/>
                <w:color w:val="000000"/>
                <w:sz w:val="20"/>
                <w:szCs w:val="20"/>
              </w:rPr>
              <w:t>4,6</w:t>
            </w:r>
          </w:p>
        </w:tc>
      </w:tr>
      <w:tr w:rsidR="002F1C54" w:rsidTr="00D73F13">
        <w:trPr>
          <w:trHeight w:val="300"/>
          <w:jc w:val="center"/>
        </w:trPr>
        <w:tc>
          <w:tcPr>
            <w:tcW w:w="3628" w:type="pct"/>
            <w:gridSpan w:val="4"/>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sidRPr="00B1006F">
              <w:rPr>
                <w:rFonts w:ascii="Garamond" w:hAnsi="Garamond" w:cs="Calibri"/>
                <w:b/>
                <w:bCs/>
                <w:color w:val="000000"/>
                <w:sz w:val="18"/>
                <w:szCs w:val="18"/>
                <w:lang w:eastAsia="en-US"/>
              </w:rPr>
              <w:t>Fonte: elaborazioni IRES Morosini su dati ASR Lombardia</w:t>
            </w:r>
          </w:p>
        </w:tc>
        <w:tc>
          <w:tcPr>
            <w:tcW w:w="813" w:type="pct"/>
            <w:tcBorders>
              <w:top w:val="nil"/>
              <w:left w:val="nil"/>
              <w:bottom w:val="nil"/>
              <w:right w:val="nil"/>
            </w:tcBorders>
            <w:shd w:val="clear" w:color="auto" w:fill="auto"/>
            <w:noWrap/>
            <w:vAlign w:val="bottom"/>
            <w:hideMark/>
          </w:tcPr>
          <w:p w:rsidR="002F1C54" w:rsidRDefault="002F1C54" w:rsidP="00D73F13">
            <w:pPr>
              <w:rPr>
                <w:color w:val="000000"/>
                <w:sz w:val="20"/>
                <w:szCs w:val="20"/>
              </w:rPr>
            </w:pPr>
          </w:p>
        </w:tc>
        <w:tc>
          <w:tcPr>
            <w:tcW w:w="559" w:type="pct"/>
            <w:tcBorders>
              <w:top w:val="nil"/>
              <w:left w:val="nil"/>
              <w:bottom w:val="nil"/>
              <w:right w:val="nil"/>
            </w:tcBorders>
            <w:shd w:val="clear" w:color="auto" w:fill="auto"/>
            <w:noWrap/>
            <w:vAlign w:val="bottom"/>
            <w:hideMark/>
          </w:tcPr>
          <w:p w:rsidR="002F1C54" w:rsidRDefault="002F1C54" w:rsidP="00D73F13">
            <w:pPr>
              <w:rPr>
                <w:color w:val="000000"/>
                <w:sz w:val="20"/>
                <w:szCs w:val="20"/>
              </w:rPr>
            </w:pPr>
          </w:p>
        </w:tc>
      </w:tr>
    </w:tbl>
    <w:p w:rsidR="002F1C54" w:rsidRDefault="002F1C54" w:rsidP="002F1C54">
      <w:pPr>
        <w:spacing w:line="360" w:lineRule="auto"/>
        <w:jc w:val="both"/>
        <w:rPr>
          <w:color w:val="000000"/>
        </w:rPr>
      </w:pPr>
    </w:p>
    <w:p w:rsidR="002F1C54" w:rsidRPr="00043771" w:rsidRDefault="002F1C54" w:rsidP="002F1C54">
      <w:pPr>
        <w:pStyle w:val="Titolo1"/>
      </w:pPr>
      <w:bookmarkStart w:id="19" w:name="_Toc355789092"/>
      <w:bookmarkStart w:id="20" w:name="_Toc356897348"/>
      <w:bookmarkStart w:id="21" w:name="_Toc359506064"/>
      <w:r w:rsidRPr="00043771">
        <w:lastRenderedPageBreak/>
        <w:t>L’indice di rischio di evasione</w:t>
      </w:r>
      <w:bookmarkEnd w:id="19"/>
      <w:bookmarkEnd w:id="20"/>
      <w:bookmarkEnd w:id="21"/>
    </w:p>
    <w:p w:rsidR="002F1C54" w:rsidRPr="00032734" w:rsidRDefault="002F1C54" w:rsidP="002F1C54">
      <w:pPr>
        <w:spacing w:line="360" w:lineRule="auto"/>
      </w:pPr>
    </w:p>
    <w:p w:rsidR="002F1C54" w:rsidRDefault="002F1C54" w:rsidP="002F1C54">
      <w:pPr>
        <w:spacing w:line="360" w:lineRule="auto"/>
        <w:jc w:val="both"/>
      </w:pPr>
      <w:r w:rsidRPr="00032734">
        <w:t>L’indice di rischio di evasione è composto da diversi indicatori che fanno riferimento al benessere e alla ricchezza. Se per quest’ultima è stato utilizzato il reddito IRPEF</w:t>
      </w:r>
      <w:r w:rsidRPr="00032734">
        <w:rPr>
          <w:rStyle w:val="Rimandonotaapidipagina"/>
          <w:rFonts w:eastAsiaTheme="majorEastAsia"/>
        </w:rPr>
        <w:footnoteReference w:id="9"/>
      </w:r>
      <w:r w:rsidRPr="00032734">
        <w:t>, per il benessere sono stati utilizzati diversi in</w:t>
      </w:r>
      <w:r>
        <w:t>dicatori quali il numero di veicoli</w:t>
      </w:r>
      <w:r w:rsidRPr="00032734">
        <w:t xml:space="preserve"> per dichiarante</w:t>
      </w:r>
      <w:r>
        <w:t xml:space="preserve"> (media 2009/2010) e la variazione del parco veicolare tra il 2009 ed il 2010,</w:t>
      </w:r>
      <w:r w:rsidRPr="00032734">
        <w:t xml:space="preserve"> i costi delle abitazioni a seconda della categoria; residenziale, commerciale</w:t>
      </w:r>
      <w:r>
        <w:t xml:space="preserve"> e</w:t>
      </w:r>
      <w:r w:rsidRPr="00032734">
        <w:t xml:space="preserve"> terziario, le tonnellate di rifiuti prodotte sul numero di </w:t>
      </w:r>
      <w:r>
        <w:t>dichiaranti e i depositi bancari</w:t>
      </w:r>
      <w:r w:rsidRPr="00032734">
        <w:t xml:space="preserve">. I dati sui consumi sono stati raccolti da ASR Lombardia, i dati sulle quotazioni immobiliari dall’Agenzia delle entrate, mentre i dati sui depositi dal sito della Banca d’Italia. L’ammontare dei depostiti su dichiarante se da un lato impone l’assunzione che il risparmio medio sia uguale per tutti i comuni della provincia, dall’altro permette di controllare per </w:t>
      </w:r>
      <w:r>
        <w:t>il risparmio dei contribuenti; per cercare di tenere in considerazione il fenomeno del ricorso ai risparmi, abbiamo inoltre utilizzato il dato relativo alla variazione dei depositi (normalizzati sul numero delle dichiarazioni irpef per ciascun anno) tra il 2009 ed il 2010.</w:t>
      </w:r>
      <w:r w:rsidRPr="00032734">
        <w:t xml:space="preserve"> La produzione di rifiuti è una voce indiretta ma comunque correl</w:t>
      </w:r>
      <w:r>
        <w:t>ata ai consumi degli individui.</w:t>
      </w:r>
    </w:p>
    <w:p w:rsidR="002F1C54" w:rsidRDefault="002F1C54" w:rsidP="002F1C54">
      <w:pPr>
        <w:spacing w:line="360" w:lineRule="auto"/>
        <w:jc w:val="both"/>
      </w:pPr>
      <w:r>
        <w:t>Al fine di garantire omogeneità statistica ed il minor numero di casi mancanti possibile, abbiamo limitato l’analisi a livello comunale ai soli enti con una popolazione residente superiore alle 5.000 unità</w:t>
      </w:r>
    </w:p>
    <w:p w:rsidR="002F1C54" w:rsidRDefault="002F1C54" w:rsidP="002F1C54">
      <w:pPr>
        <w:spacing w:line="360" w:lineRule="auto"/>
        <w:jc w:val="both"/>
      </w:pPr>
      <w:r>
        <w:t xml:space="preserve">Nella tabella seguente abbiamo riportato, a titolo esemplificativo i valori degli item che compongono l’indicatore di benessere/consumo per i principali comuni, da un punto di vista demografico, </w:t>
      </w:r>
      <w:r w:rsidRPr="00F20417">
        <w:t xml:space="preserve">della provincia di </w:t>
      </w:r>
      <w:r>
        <w:t>Bergamo</w:t>
      </w:r>
      <w:r w:rsidRPr="00F20417">
        <w:t>.</w:t>
      </w: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Default="002F1C54" w:rsidP="002F1C54">
      <w:pPr>
        <w:spacing w:line="360" w:lineRule="auto"/>
        <w:jc w:val="both"/>
      </w:pPr>
    </w:p>
    <w:p w:rsidR="002F1C54" w:rsidRPr="00F20417" w:rsidRDefault="002F1C54" w:rsidP="002F1C54">
      <w:pPr>
        <w:spacing w:line="360" w:lineRule="auto"/>
        <w:jc w:val="both"/>
      </w:pPr>
    </w:p>
    <w:p w:rsidR="002F1C54" w:rsidRPr="006D267D" w:rsidRDefault="002F1C54" w:rsidP="002F1C54">
      <w:pPr>
        <w:jc w:val="both"/>
        <w:rPr>
          <w:rFonts w:ascii="Garamond" w:hAnsi="Garamond"/>
          <w:b/>
          <w:color w:val="000000"/>
          <w:sz w:val="20"/>
          <w:szCs w:val="20"/>
        </w:rPr>
      </w:pPr>
      <w:r w:rsidRPr="006D267D">
        <w:rPr>
          <w:rFonts w:ascii="Garamond" w:hAnsi="Garamond"/>
          <w:b/>
          <w:color w:val="000000"/>
          <w:sz w:val="20"/>
          <w:szCs w:val="20"/>
        </w:rPr>
        <w:t>Item che compongono l’indicatore di ricchezza dichiarata e l’indicatore di benessere/consumo.</w:t>
      </w:r>
    </w:p>
    <w:p w:rsidR="002F1C54" w:rsidRPr="006D267D" w:rsidRDefault="002F1C54" w:rsidP="002F1C54">
      <w:pPr>
        <w:jc w:val="both"/>
        <w:rPr>
          <w:rFonts w:ascii="Garamond" w:hAnsi="Garamond" w:cs="Calibri"/>
          <w:b/>
          <w:bCs/>
          <w:color w:val="000000"/>
          <w:sz w:val="20"/>
          <w:szCs w:val="20"/>
          <w:lang w:eastAsia="en-US"/>
        </w:rPr>
      </w:pPr>
      <w:r w:rsidRPr="006D267D">
        <w:rPr>
          <w:rFonts w:ascii="Garamond" w:hAnsi="Garamond" w:cs="Calibri"/>
          <w:b/>
          <w:bCs/>
          <w:color w:val="000000"/>
          <w:sz w:val="20"/>
          <w:szCs w:val="20"/>
          <w:lang w:eastAsia="en-US"/>
        </w:rPr>
        <w:t>Comuni principali della provincia di Bergamo.</w:t>
      </w:r>
    </w:p>
    <w:tbl>
      <w:tblPr>
        <w:tblW w:w="5000" w:type="pct"/>
        <w:tblCellMar>
          <w:left w:w="70" w:type="dxa"/>
          <w:right w:w="70" w:type="dxa"/>
        </w:tblCellMar>
        <w:tblLook w:val="04A0"/>
      </w:tblPr>
      <w:tblGrid>
        <w:gridCol w:w="1875"/>
        <w:gridCol w:w="958"/>
        <w:gridCol w:w="874"/>
        <w:gridCol w:w="890"/>
        <w:gridCol w:w="1044"/>
        <w:gridCol w:w="602"/>
        <w:gridCol w:w="774"/>
        <w:gridCol w:w="761"/>
        <w:gridCol w:w="1126"/>
        <w:gridCol w:w="874"/>
      </w:tblGrid>
      <w:tr w:rsidR="002F1C54" w:rsidRPr="006D267D" w:rsidTr="00D73F13">
        <w:trPr>
          <w:trHeight w:val="480"/>
        </w:trPr>
        <w:tc>
          <w:tcPr>
            <w:tcW w:w="959" w:type="pct"/>
            <w:vMerge w:val="restart"/>
            <w:tcBorders>
              <w:top w:val="single" w:sz="4" w:space="0" w:color="auto"/>
              <w:left w:val="nil"/>
              <w:bottom w:val="single" w:sz="4" w:space="0" w:color="000000"/>
              <w:right w:val="nil"/>
            </w:tcBorders>
            <w:shd w:val="clear" w:color="auto" w:fill="auto"/>
            <w:noWrap/>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 </w:t>
            </w:r>
          </w:p>
        </w:tc>
        <w:tc>
          <w:tcPr>
            <w:tcW w:w="490" w:type="pct"/>
            <w:vMerge w:val="restart"/>
            <w:tcBorders>
              <w:top w:val="single" w:sz="4" w:space="0" w:color="auto"/>
              <w:left w:val="nil"/>
              <w:bottom w:val="single" w:sz="4" w:space="0" w:color="000000"/>
              <w:right w:val="nil"/>
            </w:tcBorders>
            <w:shd w:val="clear" w:color="auto" w:fill="auto"/>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Irpef/</w:t>
            </w:r>
          </w:p>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dichiaranti</w:t>
            </w:r>
          </w:p>
        </w:tc>
        <w:tc>
          <w:tcPr>
            <w:tcW w:w="447" w:type="pct"/>
            <w:vMerge w:val="restart"/>
            <w:tcBorders>
              <w:top w:val="single" w:sz="4" w:space="0" w:color="auto"/>
              <w:left w:val="nil"/>
              <w:bottom w:val="single" w:sz="4" w:space="0" w:color="000000"/>
              <w:right w:val="nil"/>
            </w:tcBorders>
            <w:shd w:val="clear" w:color="auto" w:fill="auto"/>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Auto/</w:t>
            </w:r>
          </w:p>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dichiaranti</w:t>
            </w:r>
          </w:p>
        </w:tc>
        <w:tc>
          <w:tcPr>
            <w:tcW w:w="455" w:type="pct"/>
            <w:tcBorders>
              <w:top w:val="single" w:sz="4" w:space="0" w:color="auto"/>
              <w:left w:val="nil"/>
              <w:bottom w:val="nil"/>
              <w:right w:val="nil"/>
            </w:tcBorders>
            <w:shd w:val="clear" w:color="auto" w:fill="auto"/>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Auto/</w:t>
            </w:r>
          </w:p>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100 dichiaranti</w:t>
            </w:r>
          </w:p>
        </w:tc>
        <w:tc>
          <w:tcPr>
            <w:tcW w:w="534" w:type="pct"/>
            <w:vMerge w:val="restart"/>
            <w:tcBorders>
              <w:top w:val="single" w:sz="4" w:space="0" w:color="auto"/>
              <w:left w:val="nil"/>
              <w:bottom w:val="single" w:sz="4" w:space="0" w:color="000000"/>
              <w:right w:val="nil"/>
            </w:tcBorders>
            <w:shd w:val="clear" w:color="auto" w:fill="auto"/>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Rifiuti/</w:t>
            </w:r>
          </w:p>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dichiaranti</w:t>
            </w:r>
          </w:p>
        </w:tc>
        <w:tc>
          <w:tcPr>
            <w:tcW w:w="308" w:type="pct"/>
            <w:vMerge w:val="restart"/>
            <w:tcBorders>
              <w:top w:val="single" w:sz="4" w:space="0" w:color="auto"/>
              <w:left w:val="nil"/>
              <w:bottom w:val="single" w:sz="4" w:space="0" w:color="000000"/>
              <w:right w:val="nil"/>
            </w:tcBorders>
            <w:shd w:val="clear" w:color="auto" w:fill="auto"/>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Costi Case</w:t>
            </w:r>
          </w:p>
        </w:tc>
        <w:tc>
          <w:tcPr>
            <w:tcW w:w="396" w:type="pct"/>
            <w:vMerge w:val="restart"/>
            <w:tcBorders>
              <w:top w:val="single" w:sz="4" w:space="0" w:color="auto"/>
              <w:left w:val="nil"/>
              <w:bottom w:val="single" w:sz="4" w:space="0" w:color="000000"/>
              <w:right w:val="nil"/>
            </w:tcBorders>
            <w:shd w:val="clear" w:color="auto" w:fill="auto"/>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Costi Commer.</w:t>
            </w:r>
          </w:p>
        </w:tc>
        <w:tc>
          <w:tcPr>
            <w:tcW w:w="389" w:type="pct"/>
            <w:vMerge w:val="restart"/>
            <w:tcBorders>
              <w:top w:val="single" w:sz="4" w:space="0" w:color="auto"/>
              <w:left w:val="nil"/>
              <w:bottom w:val="single" w:sz="4" w:space="0" w:color="000000"/>
              <w:right w:val="nil"/>
            </w:tcBorders>
            <w:shd w:val="clear" w:color="auto" w:fill="auto"/>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Costi Terziario</w:t>
            </w:r>
          </w:p>
        </w:tc>
        <w:tc>
          <w:tcPr>
            <w:tcW w:w="576" w:type="pct"/>
            <w:vMerge w:val="restart"/>
            <w:tcBorders>
              <w:top w:val="single" w:sz="4" w:space="0" w:color="auto"/>
              <w:left w:val="nil"/>
              <w:bottom w:val="single" w:sz="4" w:space="0" w:color="000000"/>
              <w:right w:val="nil"/>
            </w:tcBorders>
            <w:shd w:val="clear" w:color="auto" w:fill="auto"/>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Depositi/</w:t>
            </w:r>
          </w:p>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dichiaranti</w:t>
            </w:r>
          </w:p>
        </w:tc>
        <w:tc>
          <w:tcPr>
            <w:tcW w:w="447" w:type="pct"/>
            <w:tcBorders>
              <w:top w:val="single" w:sz="4" w:space="0" w:color="auto"/>
              <w:left w:val="nil"/>
              <w:bottom w:val="nil"/>
              <w:right w:val="nil"/>
            </w:tcBorders>
            <w:shd w:val="clear" w:color="auto" w:fill="auto"/>
            <w:vAlign w:val="center"/>
            <w:hideMark/>
          </w:tcPr>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Depositi/</w:t>
            </w:r>
          </w:p>
          <w:p w:rsidR="002F1C54" w:rsidRPr="006D267D" w:rsidRDefault="002F1C54" w:rsidP="00D73F13">
            <w:pPr>
              <w:jc w:val="center"/>
              <w:rPr>
                <w:rFonts w:ascii="Garamond" w:hAnsi="Garamond" w:cs="Calibri"/>
                <w:b/>
                <w:bCs/>
                <w:color w:val="000000"/>
                <w:sz w:val="16"/>
                <w:szCs w:val="16"/>
              </w:rPr>
            </w:pPr>
            <w:r w:rsidRPr="006D267D">
              <w:rPr>
                <w:rFonts w:ascii="Garamond" w:hAnsi="Garamond" w:cs="Calibri"/>
                <w:b/>
                <w:bCs/>
                <w:color w:val="000000"/>
                <w:sz w:val="16"/>
                <w:szCs w:val="16"/>
              </w:rPr>
              <w:t>dichiaranti</w:t>
            </w:r>
          </w:p>
        </w:tc>
      </w:tr>
      <w:tr w:rsidR="002F1C54" w:rsidRPr="006D267D" w:rsidTr="00D73F13">
        <w:trPr>
          <w:trHeight w:val="70"/>
        </w:trPr>
        <w:tc>
          <w:tcPr>
            <w:tcW w:w="959" w:type="pct"/>
            <w:vMerge/>
            <w:tcBorders>
              <w:top w:val="single" w:sz="4" w:space="0" w:color="auto"/>
              <w:left w:val="nil"/>
              <w:bottom w:val="single" w:sz="4" w:space="0" w:color="000000"/>
              <w:right w:val="nil"/>
            </w:tcBorders>
            <w:vAlign w:val="center"/>
            <w:hideMark/>
          </w:tcPr>
          <w:p w:rsidR="002F1C54" w:rsidRPr="006D267D" w:rsidRDefault="002F1C54" w:rsidP="00D73F13">
            <w:pPr>
              <w:rPr>
                <w:rFonts w:ascii="Garamond" w:hAnsi="Garamond" w:cs="Calibri"/>
                <w:b/>
                <w:bCs/>
                <w:color w:val="000000"/>
                <w:sz w:val="16"/>
                <w:szCs w:val="16"/>
              </w:rPr>
            </w:pPr>
          </w:p>
        </w:tc>
        <w:tc>
          <w:tcPr>
            <w:tcW w:w="490" w:type="pct"/>
            <w:vMerge/>
            <w:tcBorders>
              <w:top w:val="single" w:sz="4" w:space="0" w:color="auto"/>
              <w:left w:val="nil"/>
              <w:bottom w:val="single" w:sz="4" w:space="0" w:color="000000"/>
              <w:right w:val="nil"/>
            </w:tcBorders>
            <w:vAlign w:val="center"/>
            <w:hideMark/>
          </w:tcPr>
          <w:p w:rsidR="002F1C54" w:rsidRPr="006D267D" w:rsidRDefault="002F1C54" w:rsidP="00D73F13">
            <w:pPr>
              <w:rPr>
                <w:rFonts w:ascii="Garamond" w:hAnsi="Garamond" w:cs="Calibri"/>
                <w:b/>
                <w:bCs/>
                <w:color w:val="000000"/>
                <w:sz w:val="16"/>
                <w:szCs w:val="16"/>
              </w:rPr>
            </w:pPr>
          </w:p>
        </w:tc>
        <w:tc>
          <w:tcPr>
            <w:tcW w:w="447" w:type="pct"/>
            <w:vMerge/>
            <w:tcBorders>
              <w:top w:val="single" w:sz="4" w:space="0" w:color="auto"/>
              <w:left w:val="nil"/>
              <w:bottom w:val="single" w:sz="4" w:space="0" w:color="000000"/>
              <w:right w:val="nil"/>
            </w:tcBorders>
            <w:vAlign w:val="center"/>
            <w:hideMark/>
          </w:tcPr>
          <w:p w:rsidR="002F1C54" w:rsidRPr="006D267D" w:rsidRDefault="002F1C54" w:rsidP="00D73F13">
            <w:pPr>
              <w:rPr>
                <w:rFonts w:ascii="Garamond" w:hAnsi="Garamond" w:cs="Calibri"/>
                <w:b/>
                <w:bCs/>
                <w:color w:val="000000"/>
                <w:sz w:val="16"/>
                <w:szCs w:val="16"/>
              </w:rPr>
            </w:pPr>
          </w:p>
        </w:tc>
        <w:tc>
          <w:tcPr>
            <w:tcW w:w="455" w:type="pct"/>
            <w:tcBorders>
              <w:top w:val="nil"/>
              <w:left w:val="nil"/>
              <w:bottom w:val="single" w:sz="4" w:space="0" w:color="auto"/>
              <w:right w:val="nil"/>
            </w:tcBorders>
            <w:shd w:val="clear" w:color="auto" w:fill="auto"/>
            <w:vAlign w:val="center"/>
            <w:hideMark/>
          </w:tcPr>
          <w:p w:rsidR="002F1C54" w:rsidRPr="006D267D" w:rsidRDefault="002F1C54" w:rsidP="00D73F13">
            <w:pPr>
              <w:jc w:val="center"/>
              <w:rPr>
                <w:rFonts w:ascii="Garamond" w:hAnsi="Garamond" w:cs="Calibri"/>
                <w:b/>
                <w:bCs/>
                <w:i/>
                <w:iCs/>
                <w:color w:val="000000"/>
                <w:sz w:val="16"/>
                <w:szCs w:val="16"/>
              </w:rPr>
            </w:pPr>
            <w:r w:rsidRPr="006D267D">
              <w:rPr>
                <w:rFonts w:ascii="Garamond" w:hAnsi="Garamond" w:cs="Calibri"/>
                <w:b/>
                <w:bCs/>
                <w:i/>
                <w:iCs/>
                <w:color w:val="000000"/>
                <w:sz w:val="16"/>
                <w:szCs w:val="16"/>
              </w:rPr>
              <w:t>Var. 09/10</w:t>
            </w:r>
          </w:p>
        </w:tc>
        <w:tc>
          <w:tcPr>
            <w:tcW w:w="534" w:type="pct"/>
            <w:vMerge/>
            <w:tcBorders>
              <w:top w:val="single" w:sz="4" w:space="0" w:color="auto"/>
              <w:left w:val="nil"/>
              <w:bottom w:val="single" w:sz="4" w:space="0" w:color="000000"/>
              <w:right w:val="nil"/>
            </w:tcBorders>
            <w:vAlign w:val="center"/>
            <w:hideMark/>
          </w:tcPr>
          <w:p w:rsidR="002F1C54" w:rsidRPr="006D267D" w:rsidRDefault="002F1C54" w:rsidP="00D73F13">
            <w:pPr>
              <w:rPr>
                <w:rFonts w:ascii="Garamond" w:hAnsi="Garamond" w:cs="Calibri"/>
                <w:b/>
                <w:bCs/>
                <w:color w:val="000000"/>
                <w:sz w:val="16"/>
                <w:szCs w:val="16"/>
              </w:rPr>
            </w:pPr>
          </w:p>
        </w:tc>
        <w:tc>
          <w:tcPr>
            <w:tcW w:w="308" w:type="pct"/>
            <w:vMerge/>
            <w:tcBorders>
              <w:top w:val="single" w:sz="4" w:space="0" w:color="auto"/>
              <w:left w:val="nil"/>
              <w:bottom w:val="single" w:sz="4" w:space="0" w:color="000000"/>
              <w:right w:val="nil"/>
            </w:tcBorders>
            <w:vAlign w:val="center"/>
            <w:hideMark/>
          </w:tcPr>
          <w:p w:rsidR="002F1C54" w:rsidRPr="006D267D" w:rsidRDefault="002F1C54" w:rsidP="00D73F13">
            <w:pPr>
              <w:rPr>
                <w:rFonts w:ascii="Garamond" w:hAnsi="Garamond" w:cs="Calibri"/>
                <w:b/>
                <w:bCs/>
                <w:color w:val="000000"/>
                <w:sz w:val="16"/>
                <w:szCs w:val="16"/>
              </w:rPr>
            </w:pPr>
          </w:p>
        </w:tc>
        <w:tc>
          <w:tcPr>
            <w:tcW w:w="396" w:type="pct"/>
            <w:vMerge/>
            <w:tcBorders>
              <w:top w:val="single" w:sz="4" w:space="0" w:color="auto"/>
              <w:left w:val="nil"/>
              <w:bottom w:val="single" w:sz="4" w:space="0" w:color="000000"/>
              <w:right w:val="nil"/>
            </w:tcBorders>
            <w:vAlign w:val="center"/>
            <w:hideMark/>
          </w:tcPr>
          <w:p w:rsidR="002F1C54" w:rsidRPr="006D267D" w:rsidRDefault="002F1C54" w:rsidP="00D73F13">
            <w:pPr>
              <w:rPr>
                <w:rFonts w:ascii="Garamond" w:hAnsi="Garamond" w:cs="Calibri"/>
                <w:b/>
                <w:bCs/>
                <w:color w:val="000000"/>
                <w:sz w:val="16"/>
                <w:szCs w:val="16"/>
              </w:rPr>
            </w:pPr>
          </w:p>
        </w:tc>
        <w:tc>
          <w:tcPr>
            <w:tcW w:w="389" w:type="pct"/>
            <w:vMerge/>
            <w:tcBorders>
              <w:top w:val="single" w:sz="4" w:space="0" w:color="auto"/>
              <w:left w:val="nil"/>
              <w:bottom w:val="single" w:sz="4" w:space="0" w:color="000000"/>
              <w:right w:val="nil"/>
            </w:tcBorders>
            <w:vAlign w:val="center"/>
            <w:hideMark/>
          </w:tcPr>
          <w:p w:rsidR="002F1C54" w:rsidRPr="006D267D" w:rsidRDefault="002F1C54" w:rsidP="00D73F13">
            <w:pPr>
              <w:rPr>
                <w:rFonts w:ascii="Garamond" w:hAnsi="Garamond" w:cs="Calibri"/>
                <w:b/>
                <w:bCs/>
                <w:color w:val="000000"/>
                <w:sz w:val="16"/>
                <w:szCs w:val="16"/>
              </w:rPr>
            </w:pPr>
          </w:p>
        </w:tc>
        <w:tc>
          <w:tcPr>
            <w:tcW w:w="576" w:type="pct"/>
            <w:vMerge/>
            <w:tcBorders>
              <w:top w:val="single" w:sz="4" w:space="0" w:color="auto"/>
              <w:left w:val="nil"/>
              <w:bottom w:val="single" w:sz="4" w:space="0" w:color="000000"/>
              <w:right w:val="nil"/>
            </w:tcBorders>
            <w:vAlign w:val="center"/>
            <w:hideMark/>
          </w:tcPr>
          <w:p w:rsidR="002F1C54" w:rsidRPr="006D267D" w:rsidRDefault="002F1C54" w:rsidP="00D73F13">
            <w:pPr>
              <w:rPr>
                <w:rFonts w:ascii="Garamond" w:hAnsi="Garamond" w:cs="Calibri"/>
                <w:b/>
                <w:bCs/>
                <w:color w:val="000000"/>
                <w:sz w:val="16"/>
                <w:szCs w:val="16"/>
              </w:rPr>
            </w:pPr>
          </w:p>
        </w:tc>
        <w:tc>
          <w:tcPr>
            <w:tcW w:w="447" w:type="pct"/>
            <w:tcBorders>
              <w:top w:val="nil"/>
              <w:left w:val="nil"/>
              <w:bottom w:val="single" w:sz="4" w:space="0" w:color="auto"/>
              <w:right w:val="nil"/>
            </w:tcBorders>
            <w:shd w:val="clear" w:color="auto" w:fill="auto"/>
            <w:vAlign w:val="center"/>
            <w:hideMark/>
          </w:tcPr>
          <w:p w:rsidR="002F1C54" w:rsidRPr="006D267D" w:rsidRDefault="002F1C54" w:rsidP="00D73F13">
            <w:pPr>
              <w:jc w:val="center"/>
              <w:rPr>
                <w:rFonts w:ascii="Garamond" w:hAnsi="Garamond" w:cs="Calibri"/>
                <w:b/>
                <w:bCs/>
                <w:i/>
                <w:iCs/>
                <w:color w:val="000000"/>
                <w:sz w:val="16"/>
                <w:szCs w:val="16"/>
              </w:rPr>
            </w:pPr>
            <w:r w:rsidRPr="006D267D">
              <w:rPr>
                <w:rFonts w:ascii="Garamond" w:hAnsi="Garamond" w:cs="Calibri"/>
                <w:b/>
                <w:bCs/>
                <w:i/>
                <w:iCs/>
                <w:color w:val="000000"/>
                <w:sz w:val="16"/>
                <w:szCs w:val="16"/>
              </w:rPr>
              <w:t>Var. 09/10</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Bergamo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31.754</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-0,5</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0,9</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1.444</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1.199</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1.611</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82.909</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2.189</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Treviglio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26.303</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0,4</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1.266</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1.422</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1.675</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39.924</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1.174</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Seriate</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23.748</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2,7</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0,9</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1.145</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1.099</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1.438</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26.017</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1.521</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Dalmine</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24.322</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0,5</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1.127</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867</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1.138</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28.075</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-98</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Romano di Lombardia</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21.855</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2,4</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1.064</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1.020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1.438</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25.344</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1.503</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Albino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22.401</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2,4</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1.225</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1.010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1.438</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27.551</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-1.848</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Caravaggio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23.067</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0,9</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975</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1.023</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1.438</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24.482</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-1.233</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Alzano Lombardo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24.303</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0,6</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1.281</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957</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1.225</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18.722</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-827</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Stezzano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23.345</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2,2</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1.159</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920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1.200</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13.893</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-1.595</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Osio Sotto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22.008</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1,6</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1.041</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940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1.200</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21.926</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642</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Nembro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21.499</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0,6</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1.179</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1.025</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1.438</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29.167</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120</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Ponte San Pietro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22.933</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1.197</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1.033</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1.438</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32.374</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-2.928</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Cologno al Serio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21.520</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1,6</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991</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940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1.200</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19.659</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-1.041</w:t>
            </w:r>
          </w:p>
        </w:tc>
      </w:tr>
      <w:tr w:rsidR="002F1C54" w:rsidRPr="006D267D" w:rsidTr="00D73F13">
        <w:trPr>
          <w:trHeight w:hRule="exact" w:val="227"/>
        </w:trPr>
        <w:tc>
          <w:tcPr>
            <w:tcW w:w="959"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Treviolo</w:t>
            </w:r>
          </w:p>
        </w:tc>
        <w:tc>
          <w:tcPr>
            <w:tcW w:w="49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24.784</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455"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2,5</w:t>
            </w:r>
          </w:p>
        </w:tc>
        <w:tc>
          <w:tcPr>
            <w:tcW w:w="534"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1.346</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650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885</w:t>
            </w:r>
          </w:p>
        </w:tc>
        <w:tc>
          <w:tcPr>
            <w:tcW w:w="57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14.324</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579</w:t>
            </w:r>
          </w:p>
        </w:tc>
      </w:tr>
      <w:tr w:rsidR="002F1C54" w:rsidRPr="006D267D" w:rsidTr="00D73F13">
        <w:trPr>
          <w:trHeight w:hRule="exact" w:val="227"/>
        </w:trPr>
        <w:tc>
          <w:tcPr>
            <w:tcW w:w="959" w:type="pct"/>
            <w:tcBorders>
              <w:top w:val="nil"/>
              <w:left w:val="nil"/>
              <w:bottom w:val="single" w:sz="4" w:space="0" w:color="auto"/>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Martinengo</w:t>
            </w:r>
          </w:p>
        </w:tc>
        <w:tc>
          <w:tcPr>
            <w:tcW w:w="490"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19.907</w:t>
            </w:r>
          </w:p>
        </w:tc>
        <w:tc>
          <w:tcPr>
            <w:tcW w:w="447"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w:t>
            </w:r>
          </w:p>
        </w:tc>
        <w:tc>
          <w:tcPr>
            <w:tcW w:w="455"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0,7</w:t>
            </w:r>
          </w:p>
        </w:tc>
        <w:tc>
          <w:tcPr>
            <w:tcW w:w="534"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0,7</w:t>
            </w:r>
          </w:p>
        </w:tc>
        <w:tc>
          <w:tcPr>
            <w:tcW w:w="308"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979</w:t>
            </w:r>
          </w:p>
        </w:tc>
        <w:tc>
          <w:tcPr>
            <w:tcW w:w="396"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650</w:t>
            </w:r>
          </w:p>
        </w:tc>
        <w:tc>
          <w:tcPr>
            <w:tcW w:w="389"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885</w:t>
            </w:r>
          </w:p>
        </w:tc>
        <w:tc>
          <w:tcPr>
            <w:tcW w:w="576"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18.779</w:t>
            </w:r>
          </w:p>
        </w:tc>
        <w:tc>
          <w:tcPr>
            <w:tcW w:w="447"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-171</w:t>
            </w:r>
          </w:p>
        </w:tc>
      </w:tr>
    </w:tbl>
    <w:p w:rsidR="002F1C54" w:rsidRPr="006D267D" w:rsidRDefault="002F1C54" w:rsidP="002F1C54">
      <w:pPr>
        <w:jc w:val="both"/>
        <w:rPr>
          <w:rFonts w:ascii="Garamond" w:hAnsi="Garamond"/>
          <w:b/>
          <w:bCs/>
          <w:sz w:val="20"/>
          <w:szCs w:val="20"/>
          <w:lang w:eastAsia="en-US"/>
        </w:rPr>
      </w:pPr>
      <w:r w:rsidRPr="006D267D">
        <w:rPr>
          <w:rFonts w:ascii="Garamond" w:hAnsi="Garamond"/>
          <w:b/>
          <w:bCs/>
          <w:sz w:val="20"/>
          <w:szCs w:val="20"/>
          <w:lang w:eastAsia="en-US"/>
        </w:rPr>
        <w:t>Fonte: elaborazioni IRES Morosini</w:t>
      </w:r>
    </w:p>
    <w:p w:rsidR="002F1C54" w:rsidRPr="0052380B" w:rsidRDefault="002F1C54" w:rsidP="002F1C54">
      <w:pPr>
        <w:spacing w:before="240" w:after="240" w:line="360" w:lineRule="auto"/>
        <w:jc w:val="both"/>
      </w:pPr>
      <w:r w:rsidRPr="0052380B">
        <w:t>Forniamo inoltre il dato puntuale del valore dei singoli elementi che compongono l’indicatore per quegli enti che, come vedremo in seguito, presentano secondo lo schema presentato in questa analisi  la maggior propensione all’evasione.</w:t>
      </w:r>
    </w:p>
    <w:p w:rsidR="002F1C54" w:rsidRPr="0052380B" w:rsidRDefault="002F1C54" w:rsidP="002F1C54">
      <w:pPr>
        <w:jc w:val="both"/>
        <w:rPr>
          <w:rFonts w:ascii="Garamond" w:hAnsi="Garamond"/>
          <w:b/>
          <w:color w:val="000000"/>
          <w:sz w:val="20"/>
          <w:szCs w:val="20"/>
        </w:rPr>
      </w:pPr>
      <w:r w:rsidRPr="0052380B">
        <w:rPr>
          <w:rFonts w:ascii="Garamond" w:hAnsi="Garamond"/>
          <w:b/>
          <w:color w:val="000000"/>
          <w:sz w:val="20"/>
          <w:szCs w:val="20"/>
        </w:rPr>
        <w:t>Item che compongono l’indicatore di ricchezza dichiarata e l’indicatore di benessere/consumo.</w:t>
      </w:r>
    </w:p>
    <w:p w:rsidR="002F1C54" w:rsidRPr="0052380B" w:rsidRDefault="002F1C54" w:rsidP="002F1C54">
      <w:pPr>
        <w:jc w:val="both"/>
        <w:rPr>
          <w:b/>
          <w:color w:val="000000"/>
        </w:rPr>
      </w:pPr>
      <w:r w:rsidRPr="0052380B">
        <w:rPr>
          <w:rFonts w:ascii="Garamond" w:hAnsi="Garamond"/>
          <w:b/>
          <w:color w:val="000000"/>
          <w:sz w:val="20"/>
          <w:szCs w:val="20"/>
        </w:rPr>
        <w:t xml:space="preserve">I comuni della provincia di </w:t>
      </w:r>
      <w:r>
        <w:rPr>
          <w:rFonts w:ascii="Garamond" w:hAnsi="Garamond"/>
          <w:b/>
          <w:color w:val="000000"/>
          <w:sz w:val="20"/>
          <w:szCs w:val="20"/>
        </w:rPr>
        <w:t>Bergamo</w:t>
      </w:r>
      <w:r w:rsidRPr="0052380B">
        <w:rPr>
          <w:rFonts w:ascii="Garamond" w:hAnsi="Garamond"/>
          <w:b/>
          <w:color w:val="000000"/>
          <w:sz w:val="20"/>
          <w:szCs w:val="20"/>
        </w:rPr>
        <w:t xml:space="preserve"> con maggior propensione all’evasione</w:t>
      </w:r>
    </w:p>
    <w:tbl>
      <w:tblPr>
        <w:tblW w:w="5000" w:type="pct"/>
        <w:tblCellMar>
          <w:left w:w="70" w:type="dxa"/>
          <w:right w:w="70" w:type="dxa"/>
        </w:tblCellMar>
        <w:tblLook w:val="04A0"/>
      </w:tblPr>
      <w:tblGrid>
        <w:gridCol w:w="1959"/>
        <w:gridCol w:w="944"/>
        <w:gridCol w:w="874"/>
        <w:gridCol w:w="879"/>
        <w:gridCol w:w="1032"/>
        <w:gridCol w:w="602"/>
        <w:gridCol w:w="774"/>
        <w:gridCol w:w="761"/>
        <w:gridCol w:w="1079"/>
        <w:gridCol w:w="874"/>
      </w:tblGrid>
      <w:tr w:rsidR="002F1C54" w:rsidRPr="0052380B" w:rsidTr="00D73F13">
        <w:trPr>
          <w:trHeight w:val="480"/>
        </w:trPr>
        <w:tc>
          <w:tcPr>
            <w:tcW w:w="1002" w:type="pct"/>
            <w:vMerge w:val="restart"/>
            <w:tcBorders>
              <w:top w:val="single" w:sz="4" w:space="0" w:color="auto"/>
              <w:left w:val="nil"/>
              <w:bottom w:val="single" w:sz="4" w:space="0" w:color="000000"/>
              <w:right w:val="nil"/>
            </w:tcBorders>
            <w:shd w:val="clear" w:color="auto" w:fill="auto"/>
            <w:noWrap/>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 </w:t>
            </w:r>
          </w:p>
        </w:tc>
        <w:tc>
          <w:tcPr>
            <w:tcW w:w="483" w:type="pct"/>
            <w:vMerge w:val="restart"/>
            <w:tcBorders>
              <w:top w:val="single" w:sz="4" w:space="0" w:color="auto"/>
              <w:left w:val="nil"/>
              <w:bottom w:val="single" w:sz="4" w:space="0" w:color="000000"/>
              <w:right w:val="nil"/>
            </w:tcBorders>
            <w:shd w:val="clear" w:color="auto" w:fill="auto"/>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Irpef/</w:t>
            </w:r>
          </w:p>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dichiaranti</w:t>
            </w:r>
          </w:p>
        </w:tc>
        <w:tc>
          <w:tcPr>
            <w:tcW w:w="447" w:type="pct"/>
            <w:vMerge w:val="restart"/>
            <w:tcBorders>
              <w:top w:val="single" w:sz="4" w:space="0" w:color="auto"/>
              <w:left w:val="nil"/>
              <w:bottom w:val="single" w:sz="4" w:space="0" w:color="000000"/>
              <w:right w:val="nil"/>
            </w:tcBorders>
            <w:shd w:val="clear" w:color="auto" w:fill="auto"/>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Auto/</w:t>
            </w:r>
          </w:p>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dichiaranti</w:t>
            </w:r>
          </w:p>
        </w:tc>
        <w:tc>
          <w:tcPr>
            <w:tcW w:w="450" w:type="pct"/>
            <w:tcBorders>
              <w:top w:val="single" w:sz="4" w:space="0" w:color="auto"/>
              <w:left w:val="nil"/>
              <w:bottom w:val="nil"/>
              <w:right w:val="nil"/>
            </w:tcBorders>
            <w:shd w:val="clear" w:color="auto" w:fill="auto"/>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Auto/</w:t>
            </w:r>
          </w:p>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dichiaranti</w:t>
            </w:r>
          </w:p>
        </w:tc>
        <w:tc>
          <w:tcPr>
            <w:tcW w:w="528" w:type="pct"/>
            <w:vMerge w:val="restart"/>
            <w:tcBorders>
              <w:top w:val="single" w:sz="4" w:space="0" w:color="auto"/>
              <w:left w:val="nil"/>
              <w:bottom w:val="single" w:sz="4" w:space="0" w:color="000000"/>
              <w:right w:val="nil"/>
            </w:tcBorders>
            <w:shd w:val="clear" w:color="auto" w:fill="auto"/>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Rifiuti/</w:t>
            </w:r>
          </w:p>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dichiaranti</w:t>
            </w:r>
          </w:p>
        </w:tc>
        <w:tc>
          <w:tcPr>
            <w:tcW w:w="308" w:type="pct"/>
            <w:vMerge w:val="restart"/>
            <w:tcBorders>
              <w:top w:val="single" w:sz="4" w:space="0" w:color="auto"/>
              <w:left w:val="nil"/>
              <w:bottom w:val="single" w:sz="4" w:space="0" w:color="000000"/>
              <w:right w:val="nil"/>
            </w:tcBorders>
            <w:shd w:val="clear" w:color="auto" w:fill="auto"/>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Costi Case</w:t>
            </w:r>
          </w:p>
        </w:tc>
        <w:tc>
          <w:tcPr>
            <w:tcW w:w="396" w:type="pct"/>
            <w:vMerge w:val="restart"/>
            <w:tcBorders>
              <w:top w:val="single" w:sz="4" w:space="0" w:color="auto"/>
              <w:left w:val="nil"/>
              <w:bottom w:val="single" w:sz="4" w:space="0" w:color="000000"/>
              <w:right w:val="nil"/>
            </w:tcBorders>
            <w:shd w:val="clear" w:color="auto" w:fill="auto"/>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Costi Commer.</w:t>
            </w:r>
          </w:p>
        </w:tc>
        <w:tc>
          <w:tcPr>
            <w:tcW w:w="389" w:type="pct"/>
            <w:vMerge w:val="restart"/>
            <w:tcBorders>
              <w:top w:val="single" w:sz="4" w:space="0" w:color="auto"/>
              <w:left w:val="nil"/>
              <w:bottom w:val="single" w:sz="4" w:space="0" w:color="000000"/>
              <w:right w:val="nil"/>
            </w:tcBorders>
            <w:shd w:val="clear" w:color="auto" w:fill="auto"/>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Costi Terziario</w:t>
            </w:r>
          </w:p>
        </w:tc>
        <w:tc>
          <w:tcPr>
            <w:tcW w:w="552" w:type="pct"/>
            <w:vMerge w:val="restart"/>
            <w:tcBorders>
              <w:top w:val="single" w:sz="4" w:space="0" w:color="auto"/>
              <w:left w:val="nil"/>
              <w:bottom w:val="single" w:sz="4" w:space="0" w:color="000000"/>
              <w:right w:val="nil"/>
            </w:tcBorders>
            <w:shd w:val="clear" w:color="auto" w:fill="auto"/>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Depositi/</w:t>
            </w:r>
          </w:p>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dichiaranti</w:t>
            </w:r>
          </w:p>
        </w:tc>
        <w:tc>
          <w:tcPr>
            <w:tcW w:w="447" w:type="pct"/>
            <w:tcBorders>
              <w:top w:val="single" w:sz="4" w:space="0" w:color="auto"/>
              <w:left w:val="nil"/>
              <w:bottom w:val="nil"/>
              <w:right w:val="nil"/>
            </w:tcBorders>
            <w:shd w:val="clear" w:color="auto" w:fill="auto"/>
            <w:vAlign w:val="center"/>
            <w:hideMark/>
          </w:tcPr>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Depositi/</w:t>
            </w:r>
          </w:p>
          <w:p w:rsidR="002F1C54" w:rsidRPr="0052380B" w:rsidRDefault="002F1C54" w:rsidP="00D73F13">
            <w:pPr>
              <w:jc w:val="center"/>
              <w:rPr>
                <w:rFonts w:ascii="Garamond" w:hAnsi="Garamond" w:cs="Calibri"/>
                <w:b/>
                <w:bCs/>
                <w:color w:val="000000"/>
                <w:sz w:val="16"/>
                <w:szCs w:val="16"/>
              </w:rPr>
            </w:pPr>
            <w:r w:rsidRPr="0052380B">
              <w:rPr>
                <w:rFonts w:ascii="Garamond" w:hAnsi="Garamond" w:cs="Calibri"/>
                <w:b/>
                <w:bCs/>
                <w:color w:val="000000"/>
                <w:sz w:val="16"/>
                <w:szCs w:val="16"/>
              </w:rPr>
              <w:t>dichiaranti</w:t>
            </w:r>
          </w:p>
        </w:tc>
      </w:tr>
      <w:tr w:rsidR="002F1C54" w:rsidRPr="0052380B" w:rsidTr="00D73F13">
        <w:trPr>
          <w:trHeight w:val="70"/>
        </w:trPr>
        <w:tc>
          <w:tcPr>
            <w:tcW w:w="1002" w:type="pct"/>
            <w:vMerge/>
            <w:tcBorders>
              <w:top w:val="single" w:sz="4" w:space="0" w:color="auto"/>
              <w:left w:val="nil"/>
              <w:bottom w:val="single" w:sz="4" w:space="0" w:color="000000"/>
              <w:right w:val="nil"/>
            </w:tcBorders>
            <w:vAlign w:val="center"/>
            <w:hideMark/>
          </w:tcPr>
          <w:p w:rsidR="002F1C54" w:rsidRPr="0052380B" w:rsidRDefault="002F1C54" w:rsidP="00D73F13">
            <w:pPr>
              <w:rPr>
                <w:rFonts w:ascii="Garamond" w:hAnsi="Garamond" w:cs="Calibri"/>
                <w:b/>
                <w:bCs/>
                <w:color w:val="000000"/>
                <w:sz w:val="16"/>
                <w:szCs w:val="16"/>
              </w:rPr>
            </w:pPr>
          </w:p>
        </w:tc>
        <w:tc>
          <w:tcPr>
            <w:tcW w:w="483" w:type="pct"/>
            <w:vMerge/>
            <w:tcBorders>
              <w:top w:val="single" w:sz="4" w:space="0" w:color="auto"/>
              <w:left w:val="nil"/>
              <w:bottom w:val="single" w:sz="4" w:space="0" w:color="000000"/>
              <w:right w:val="nil"/>
            </w:tcBorders>
            <w:vAlign w:val="center"/>
            <w:hideMark/>
          </w:tcPr>
          <w:p w:rsidR="002F1C54" w:rsidRPr="0052380B" w:rsidRDefault="002F1C54" w:rsidP="00D73F13">
            <w:pPr>
              <w:rPr>
                <w:rFonts w:ascii="Garamond" w:hAnsi="Garamond" w:cs="Calibri"/>
                <w:b/>
                <w:bCs/>
                <w:color w:val="000000"/>
                <w:sz w:val="16"/>
                <w:szCs w:val="16"/>
              </w:rPr>
            </w:pPr>
          </w:p>
        </w:tc>
        <w:tc>
          <w:tcPr>
            <w:tcW w:w="447" w:type="pct"/>
            <w:vMerge/>
            <w:tcBorders>
              <w:top w:val="single" w:sz="4" w:space="0" w:color="auto"/>
              <w:left w:val="nil"/>
              <w:bottom w:val="single" w:sz="4" w:space="0" w:color="000000"/>
              <w:right w:val="nil"/>
            </w:tcBorders>
            <w:vAlign w:val="center"/>
            <w:hideMark/>
          </w:tcPr>
          <w:p w:rsidR="002F1C54" w:rsidRPr="0052380B" w:rsidRDefault="002F1C54" w:rsidP="00D73F13">
            <w:pPr>
              <w:rPr>
                <w:rFonts w:ascii="Garamond" w:hAnsi="Garamond" w:cs="Calibri"/>
                <w:b/>
                <w:bCs/>
                <w:color w:val="000000"/>
                <w:sz w:val="16"/>
                <w:szCs w:val="16"/>
              </w:rPr>
            </w:pPr>
          </w:p>
        </w:tc>
        <w:tc>
          <w:tcPr>
            <w:tcW w:w="450" w:type="pct"/>
            <w:tcBorders>
              <w:top w:val="nil"/>
              <w:left w:val="nil"/>
              <w:bottom w:val="single" w:sz="4" w:space="0" w:color="auto"/>
              <w:right w:val="nil"/>
            </w:tcBorders>
            <w:shd w:val="clear" w:color="auto" w:fill="auto"/>
            <w:vAlign w:val="center"/>
            <w:hideMark/>
          </w:tcPr>
          <w:p w:rsidR="002F1C54" w:rsidRPr="0052380B" w:rsidRDefault="002F1C54" w:rsidP="00D73F13">
            <w:pPr>
              <w:jc w:val="center"/>
              <w:rPr>
                <w:rFonts w:ascii="Garamond" w:hAnsi="Garamond" w:cs="Calibri"/>
                <w:b/>
                <w:bCs/>
                <w:i/>
                <w:iCs/>
                <w:color w:val="000000"/>
                <w:sz w:val="16"/>
                <w:szCs w:val="16"/>
              </w:rPr>
            </w:pPr>
            <w:r w:rsidRPr="0052380B">
              <w:rPr>
                <w:rFonts w:ascii="Garamond" w:hAnsi="Garamond" w:cs="Calibri"/>
                <w:b/>
                <w:bCs/>
                <w:i/>
                <w:iCs/>
                <w:color w:val="000000"/>
                <w:sz w:val="16"/>
                <w:szCs w:val="16"/>
              </w:rPr>
              <w:t>Var. 09/10</w:t>
            </w:r>
          </w:p>
        </w:tc>
        <w:tc>
          <w:tcPr>
            <w:tcW w:w="528" w:type="pct"/>
            <w:vMerge/>
            <w:tcBorders>
              <w:top w:val="single" w:sz="4" w:space="0" w:color="auto"/>
              <w:left w:val="nil"/>
              <w:bottom w:val="single" w:sz="4" w:space="0" w:color="000000"/>
              <w:right w:val="nil"/>
            </w:tcBorders>
            <w:vAlign w:val="center"/>
            <w:hideMark/>
          </w:tcPr>
          <w:p w:rsidR="002F1C54" w:rsidRPr="0052380B" w:rsidRDefault="002F1C54" w:rsidP="00D73F13">
            <w:pPr>
              <w:rPr>
                <w:rFonts w:ascii="Garamond" w:hAnsi="Garamond" w:cs="Calibri"/>
                <w:b/>
                <w:bCs/>
                <w:color w:val="000000"/>
                <w:sz w:val="16"/>
                <w:szCs w:val="16"/>
              </w:rPr>
            </w:pPr>
          </w:p>
        </w:tc>
        <w:tc>
          <w:tcPr>
            <w:tcW w:w="308" w:type="pct"/>
            <w:vMerge/>
            <w:tcBorders>
              <w:top w:val="single" w:sz="4" w:space="0" w:color="auto"/>
              <w:left w:val="nil"/>
              <w:bottom w:val="single" w:sz="4" w:space="0" w:color="000000"/>
              <w:right w:val="nil"/>
            </w:tcBorders>
            <w:vAlign w:val="center"/>
            <w:hideMark/>
          </w:tcPr>
          <w:p w:rsidR="002F1C54" w:rsidRPr="0052380B" w:rsidRDefault="002F1C54" w:rsidP="00D73F13">
            <w:pPr>
              <w:rPr>
                <w:rFonts w:ascii="Garamond" w:hAnsi="Garamond" w:cs="Calibri"/>
                <w:b/>
                <w:bCs/>
                <w:color w:val="000000"/>
                <w:sz w:val="16"/>
                <w:szCs w:val="16"/>
              </w:rPr>
            </w:pPr>
          </w:p>
        </w:tc>
        <w:tc>
          <w:tcPr>
            <w:tcW w:w="396" w:type="pct"/>
            <w:vMerge/>
            <w:tcBorders>
              <w:top w:val="single" w:sz="4" w:space="0" w:color="auto"/>
              <w:left w:val="nil"/>
              <w:bottom w:val="single" w:sz="4" w:space="0" w:color="000000"/>
              <w:right w:val="nil"/>
            </w:tcBorders>
            <w:vAlign w:val="center"/>
            <w:hideMark/>
          </w:tcPr>
          <w:p w:rsidR="002F1C54" w:rsidRPr="0052380B" w:rsidRDefault="002F1C54" w:rsidP="00D73F13">
            <w:pPr>
              <w:rPr>
                <w:rFonts w:ascii="Garamond" w:hAnsi="Garamond" w:cs="Calibri"/>
                <w:b/>
                <w:bCs/>
                <w:color w:val="000000"/>
                <w:sz w:val="16"/>
                <w:szCs w:val="16"/>
              </w:rPr>
            </w:pPr>
          </w:p>
        </w:tc>
        <w:tc>
          <w:tcPr>
            <w:tcW w:w="389" w:type="pct"/>
            <w:vMerge/>
            <w:tcBorders>
              <w:top w:val="single" w:sz="4" w:space="0" w:color="auto"/>
              <w:left w:val="nil"/>
              <w:bottom w:val="single" w:sz="4" w:space="0" w:color="000000"/>
              <w:right w:val="nil"/>
            </w:tcBorders>
            <w:vAlign w:val="center"/>
            <w:hideMark/>
          </w:tcPr>
          <w:p w:rsidR="002F1C54" w:rsidRPr="0052380B" w:rsidRDefault="002F1C54" w:rsidP="00D73F13">
            <w:pPr>
              <w:rPr>
                <w:rFonts w:ascii="Garamond" w:hAnsi="Garamond" w:cs="Calibri"/>
                <w:b/>
                <w:bCs/>
                <w:color w:val="000000"/>
                <w:sz w:val="16"/>
                <w:szCs w:val="16"/>
              </w:rPr>
            </w:pPr>
          </w:p>
        </w:tc>
        <w:tc>
          <w:tcPr>
            <w:tcW w:w="552" w:type="pct"/>
            <w:vMerge/>
            <w:tcBorders>
              <w:top w:val="single" w:sz="4" w:space="0" w:color="auto"/>
              <w:left w:val="nil"/>
              <w:bottom w:val="single" w:sz="4" w:space="0" w:color="000000"/>
              <w:right w:val="nil"/>
            </w:tcBorders>
            <w:vAlign w:val="center"/>
            <w:hideMark/>
          </w:tcPr>
          <w:p w:rsidR="002F1C54" w:rsidRPr="0052380B" w:rsidRDefault="002F1C54" w:rsidP="00D73F13">
            <w:pPr>
              <w:rPr>
                <w:rFonts w:ascii="Garamond" w:hAnsi="Garamond" w:cs="Calibri"/>
                <w:b/>
                <w:bCs/>
                <w:color w:val="000000"/>
                <w:sz w:val="16"/>
                <w:szCs w:val="16"/>
              </w:rPr>
            </w:pPr>
          </w:p>
        </w:tc>
        <w:tc>
          <w:tcPr>
            <w:tcW w:w="447" w:type="pct"/>
            <w:tcBorders>
              <w:top w:val="nil"/>
              <w:left w:val="nil"/>
              <w:bottom w:val="single" w:sz="4" w:space="0" w:color="auto"/>
              <w:right w:val="nil"/>
            </w:tcBorders>
            <w:shd w:val="clear" w:color="auto" w:fill="auto"/>
            <w:vAlign w:val="center"/>
            <w:hideMark/>
          </w:tcPr>
          <w:p w:rsidR="002F1C54" w:rsidRPr="0052380B" w:rsidRDefault="002F1C54" w:rsidP="00D73F13">
            <w:pPr>
              <w:jc w:val="center"/>
              <w:rPr>
                <w:rFonts w:ascii="Garamond" w:hAnsi="Garamond" w:cs="Calibri"/>
                <w:b/>
                <w:bCs/>
                <w:i/>
                <w:iCs/>
                <w:color w:val="000000"/>
                <w:sz w:val="16"/>
                <w:szCs w:val="16"/>
              </w:rPr>
            </w:pPr>
            <w:r w:rsidRPr="0052380B">
              <w:rPr>
                <w:rFonts w:ascii="Garamond" w:hAnsi="Garamond" w:cs="Calibri"/>
                <w:b/>
                <w:bCs/>
                <w:i/>
                <w:iCs/>
                <w:color w:val="000000"/>
                <w:sz w:val="16"/>
                <w:szCs w:val="16"/>
              </w:rPr>
              <w:t>Var. 09/10</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Costa Volpino</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20.545</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1,6</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1,5</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1.010</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940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1.200</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18.145</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197</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Clusone</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22.341</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1,6</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1.299</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1.158</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1.563</w:t>
            </w:r>
          </w:p>
        </w:tc>
        <w:tc>
          <w:tcPr>
            <w:tcW w:w="552"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33.703</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-203</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Verdellino</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21.156</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0,9</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1.000</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705</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885</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32.387</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21.219</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Ghisalba</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20.405</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2,7</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0,9</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906</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650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885</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21.562</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4.677</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Zogno</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21.044</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0,7</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1.195</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1.027</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1.438</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23.713</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233</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Villongo</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20.968</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1,5</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984</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803</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1.070</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30.664</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2.673</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San Paolo d'Argon</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23.342</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1,8</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2,9</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0,9</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1.021</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650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885</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51.887</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12.581</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Gazzaniga</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20.368</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0,7</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991</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803</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1.070</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30.050</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-826</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Calusco d'Adda</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21.283</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0,5</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1.068</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940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1.200</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31.413</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1.384</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Romano di Lombardia</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21.855</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2,4</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1.064</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1.020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1.438</w:t>
            </w:r>
          </w:p>
        </w:tc>
        <w:tc>
          <w:tcPr>
            <w:tcW w:w="552"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25.344</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1.503</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Calcio</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19.782</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0,9</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871</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803</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1.070</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Pontirolo Nuovo</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21.363</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1,6</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5,0</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913</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650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885</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San Giovanni Bianco</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20.048</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0,3</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0,7</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996</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940</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1.200</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16.959</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1.134</w:t>
            </w:r>
          </w:p>
        </w:tc>
      </w:tr>
      <w:tr w:rsidR="002F1C54" w:rsidRPr="0052380B" w:rsidTr="00D73F13">
        <w:trPr>
          <w:trHeight w:hRule="exact" w:val="227"/>
        </w:trPr>
        <w:tc>
          <w:tcPr>
            <w:tcW w:w="1002" w:type="pct"/>
            <w:tcBorders>
              <w:top w:val="nil"/>
              <w:left w:val="nil"/>
              <w:bottom w:val="nil"/>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Palosco</w:t>
            </w:r>
          </w:p>
        </w:tc>
        <w:tc>
          <w:tcPr>
            <w:tcW w:w="483"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19.770</w:t>
            </w:r>
          </w:p>
        </w:tc>
        <w:tc>
          <w:tcPr>
            <w:tcW w:w="447"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1,3</w:t>
            </w:r>
          </w:p>
        </w:tc>
        <w:tc>
          <w:tcPr>
            <w:tcW w:w="450"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0,7</w:t>
            </w:r>
          </w:p>
        </w:tc>
        <w:tc>
          <w:tcPr>
            <w:tcW w:w="52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0,9</w:t>
            </w:r>
          </w:p>
        </w:tc>
        <w:tc>
          <w:tcPr>
            <w:tcW w:w="308"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886</w:t>
            </w:r>
          </w:p>
        </w:tc>
        <w:tc>
          <w:tcPr>
            <w:tcW w:w="396"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629</w:t>
            </w:r>
          </w:p>
        </w:tc>
        <w:tc>
          <w:tcPr>
            <w:tcW w:w="389" w:type="pct"/>
            <w:tcBorders>
              <w:top w:val="nil"/>
              <w:left w:val="nil"/>
              <w:bottom w:val="nil"/>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885</w:t>
            </w:r>
          </w:p>
        </w:tc>
        <w:tc>
          <w:tcPr>
            <w:tcW w:w="552"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18.683</w:t>
            </w:r>
          </w:p>
        </w:tc>
        <w:tc>
          <w:tcPr>
            <w:tcW w:w="447" w:type="pct"/>
            <w:tcBorders>
              <w:top w:val="nil"/>
              <w:left w:val="nil"/>
              <w:bottom w:val="nil"/>
              <w:right w:val="nil"/>
            </w:tcBorders>
            <w:shd w:val="clear" w:color="auto" w:fill="auto"/>
            <w:noWrap/>
            <w:vAlign w:val="bottom"/>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-1.614</w:t>
            </w:r>
          </w:p>
        </w:tc>
      </w:tr>
      <w:tr w:rsidR="002F1C54" w:rsidRPr="0052380B" w:rsidTr="00D73F13">
        <w:trPr>
          <w:trHeight w:hRule="exact" w:val="227"/>
        </w:trPr>
        <w:tc>
          <w:tcPr>
            <w:tcW w:w="1002" w:type="pct"/>
            <w:tcBorders>
              <w:top w:val="nil"/>
              <w:left w:val="nil"/>
              <w:bottom w:val="single" w:sz="4" w:space="0" w:color="auto"/>
              <w:right w:val="nil"/>
            </w:tcBorders>
            <w:shd w:val="clear" w:color="auto" w:fill="auto"/>
            <w:noWrap/>
            <w:vAlign w:val="center"/>
            <w:hideMark/>
          </w:tcPr>
          <w:p w:rsidR="002F1C54" w:rsidRDefault="002F1C54" w:rsidP="00D73F13">
            <w:pPr>
              <w:rPr>
                <w:rFonts w:ascii="Garamond" w:hAnsi="Garamond" w:cs="Calibri"/>
                <w:b/>
                <w:bCs/>
                <w:color w:val="000000"/>
                <w:sz w:val="18"/>
                <w:szCs w:val="18"/>
              </w:rPr>
            </w:pPr>
            <w:r>
              <w:rPr>
                <w:rFonts w:ascii="Garamond" w:hAnsi="Garamond" w:cs="Calibri"/>
                <w:b/>
                <w:bCs/>
                <w:color w:val="000000"/>
                <w:sz w:val="18"/>
                <w:szCs w:val="18"/>
              </w:rPr>
              <w:t>Albino</w:t>
            </w:r>
          </w:p>
        </w:tc>
        <w:tc>
          <w:tcPr>
            <w:tcW w:w="483"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22.401</w:t>
            </w:r>
          </w:p>
        </w:tc>
        <w:tc>
          <w:tcPr>
            <w:tcW w:w="447"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w:t>
            </w:r>
          </w:p>
        </w:tc>
        <w:tc>
          <w:tcPr>
            <w:tcW w:w="450"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2,4</w:t>
            </w:r>
          </w:p>
        </w:tc>
        <w:tc>
          <w:tcPr>
            <w:tcW w:w="528"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0,8</w:t>
            </w:r>
          </w:p>
        </w:tc>
        <w:tc>
          <w:tcPr>
            <w:tcW w:w="308"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1.225</w:t>
            </w:r>
          </w:p>
        </w:tc>
        <w:tc>
          <w:tcPr>
            <w:tcW w:w="396"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1.010</w:t>
            </w:r>
          </w:p>
        </w:tc>
        <w:tc>
          <w:tcPr>
            <w:tcW w:w="389"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1.438</w:t>
            </w:r>
          </w:p>
        </w:tc>
        <w:tc>
          <w:tcPr>
            <w:tcW w:w="552"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27.551</w:t>
            </w:r>
          </w:p>
        </w:tc>
        <w:tc>
          <w:tcPr>
            <w:tcW w:w="447" w:type="pct"/>
            <w:tcBorders>
              <w:top w:val="nil"/>
              <w:left w:val="nil"/>
              <w:bottom w:val="single" w:sz="4" w:space="0" w:color="auto"/>
              <w:right w:val="nil"/>
            </w:tcBorders>
            <w:shd w:val="clear" w:color="auto" w:fill="auto"/>
            <w:noWrap/>
            <w:vAlign w:val="bottom"/>
            <w:hideMark/>
          </w:tcPr>
          <w:p w:rsidR="002F1C54" w:rsidRDefault="002F1C54" w:rsidP="00D73F13">
            <w:pPr>
              <w:jc w:val="center"/>
              <w:rPr>
                <w:rFonts w:ascii="Garamond" w:hAnsi="Garamond" w:cs="Calibri"/>
                <w:color w:val="000000"/>
                <w:sz w:val="18"/>
                <w:szCs w:val="18"/>
              </w:rPr>
            </w:pPr>
            <w:r>
              <w:rPr>
                <w:rFonts w:ascii="Garamond" w:hAnsi="Garamond" w:cs="Calibri"/>
                <w:color w:val="000000"/>
                <w:sz w:val="18"/>
                <w:szCs w:val="18"/>
              </w:rPr>
              <w:t>-1.848</w:t>
            </w:r>
          </w:p>
        </w:tc>
      </w:tr>
    </w:tbl>
    <w:p w:rsidR="002F1C54" w:rsidRPr="0052380B" w:rsidRDefault="002F1C54" w:rsidP="002F1C54">
      <w:pPr>
        <w:jc w:val="both"/>
        <w:rPr>
          <w:rFonts w:ascii="Garamond" w:hAnsi="Garamond"/>
          <w:b/>
          <w:bCs/>
          <w:sz w:val="20"/>
          <w:szCs w:val="20"/>
          <w:lang w:eastAsia="en-US"/>
        </w:rPr>
      </w:pPr>
      <w:r w:rsidRPr="0052380B">
        <w:rPr>
          <w:rFonts w:ascii="Garamond" w:hAnsi="Garamond"/>
          <w:b/>
          <w:bCs/>
          <w:sz w:val="20"/>
          <w:szCs w:val="20"/>
          <w:lang w:eastAsia="en-US"/>
        </w:rPr>
        <w:t>Fonte: elaborazioni IRES Morosini</w:t>
      </w:r>
    </w:p>
    <w:p w:rsidR="002F1C54" w:rsidRDefault="002F1C54" w:rsidP="002F1C54">
      <w:pPr>
        <w:spacing w:before="360" w:line="360" w:lineRule="auto"/>
        <w:jc w:val="both"/>
      </w:pPr>
      <w:r w:rsidRPr="0052380B">
        <w:t>Dopo la standardizzazione degli indicatori è stata calcolata la classe di rischio di evasione per ogni comune. Essendo l’indice il risultato della differenza fra il reddito imponibile e gli indicatori di consumo, valori negativi mettono in evidenza un maggior rischio di evasione. Il risultato della costruzione dell’indicatore e della relativa classificazione è riportato nelle tabelle sottostanti. Minore è la classe, maggiore sarà il rischio di evasione fiscale.</w:t>
      </w:r>
    </w:p>
    <w:p w:rsidR="002F1C54" w:rsidRPr="0052380B" w:rsidRDefault="002F1C54" w:rsidP="002F1C54">
      <w:pPr>
        <w:spacing w:before="240"/>
        <w:jc w:val="both"/>
        <w:rPr>
          <w:rFonts w:ascii="Garamond" w:hAnsi="Garamond"/>
          <w:b/>
          <w:color w:val="000000"/>
          <w:sz w:val="20"/>
          <w:szCs w:val="20"/>
        </w:rPr>
      </w:pPr>
      <w:r w:rsidRPr="0052380B">
        <w:rPr>
          <w:rFonts w:ascii="Garamond" w:hAnsi="Garamond"/>
          <w:b/>
          <w:color w:val="000000"/>
          <w:sz w:val="20"/>
          <w:szCs w:val="20"/>
        </w:rPr>
        <w:lastRenderedPageBreak/>
        <w:t xml:space="preserve">Rischio di evasione e classe di rischio comunale. </w:t>
      </w:r>
      <w:r w:rsidRPr="0052380B">
        <w:rPr>
          <w:rFonts w:ascii="Garamond" w:hAnsi="Garamond" w:cs="Calibri"/>
          <w:b/>
          <w:bCs/>
          <w:color w:val="000000"/>
          <w:sz w:val="20"/>
          <w:szCs w:val="20"/>
          <w:lang w:eastAsia="en-US"/>
        </w:rPr>
        <w:t>Comuni principali della provincia di Bergamo.</w:t>
      </w:r>
    </w:p>
    <w:tbl>
      <w:tblPr>
        <w:tblW w:w="4380" w:type="dxa"/>
        <w:tblInd w:w="55" w:type="dxa"/>
        <w:tblCellMar>
          <w:left w:w="70" w:type="dxa"/>
          <w:right w:w="70" w:type="dxa"/>
        </w:tblCellMar>
        <w:tblLook w:val="04A0"/>
      </w:tblPr>
      <w:tblGrid>
        <w:gridCol w:w="2260"/>
        <w:gridCol w:w="1060"/>
        <w:gridCol w:w="1060"/>
      </w:tblGrid>
      <w:tr w:rsidR="002F1C54" w:rsidRPr="0052380B" w:rsidTr="00D73F13">
        <w:trPr>
          <w:trHeight w:val="480"/>
        </w:trPr>
        <w:tc>
          <w:tcPr>
            <w:tcW w:w="2260" w:type="dxa"/>
            <w:tcBorders>
              <w:top w:val="single" w:sz="4" w:space="0" w:color="auto"/>
              <w:left w:val="nil"/>
              <w:bottom w:val="single" w:sz="4" w:space="0" w:color="auto"/>
              <w:right w:val="nil"/>
            </w:tcBorders>
            <w:shd w:val="clear" w:color="auto" w:fill="auto"/>
            <w:noWrap/>
            <w:vAlign w:val="bottom"/>
            <w:hideMark/>
          </w:tcPr>
          <w:p w:rsidR="002F1C54" w:rsidRPr="0052380B" w:rsidRDefault="002F1C54" w:rsidP="00D73F13">
            <w:pPr>
              <w:rPr>
                <w:rFonts w:ascii="Garamond" w:hAnsi="Garamond" w:cs="Calibri"/>
                <w:color w:val="000000"/>
                <w:sz w:val="18"/>
                <w:szCs w:val="18"/>
              </w:rPr>
            </w:pPr>
            <w:r w:rsidRPr="0052380B">
              <w:rPr>
                <w:rFonts w:ascii="Garamond" w:hAnsi="Garamond" w:cs="Calibri"/>
                <w:color w:val="000000"/>
                <w:sz w:val="18"/>
                <w:szCs w:val="18"/>
              </w:rPr>
              <w:t> </w:t>
            </w:r>
          </w:p>
        </w:tc>
        <w:tc>
          <w:tcPr>
            <w:tcW w:w="1060" w:type="dxa"/>
            <w:tcBorders>
              <w:top w:val="single" w:sz="4" w:space="0" w:color="auto"/>
              <w:left w:val="nil"/>
              <w:bottom w:val="single" w:sz="4" w:space="0" w:color="auto"/>
              <w:right w:val="nil"/>
            </w:tcBorders>
            <w:shd w:val="clear" w:color="auto" w:fill="auto"/>
            <w:vAlign w:val="center"/>
            <w:hideMark/>
          </w:tcPr>
          <w:p w:rsidR="002F1C54" w:rsidRPr="0052380B" w:rsidRDefault="002F1C54" w:rsidP="00D73F13">
            <w:pPr>
              <w:jc w:val="center"/>
              <w:rPr>
                <w:rFonts w:ascii="Garamond" w:hAnsi="Garamond" w:cs="Calibri"/>
                <w:b/>
                <w:bCs/>
                <w:color w:val="000000"/>
                <w:sz w:val="18"/>
                <w:szCs w:val="18"/>
              </w:rPr>
            </w:pPr>
            <w:r w:rsidRPr="0052380B">
              <w:rPr>
                <w:rFonts w:ascii="Garamond" w:hAnsi="Garamond" w:cs="Calibri"/>
                <w:b/>
                <w:bCs/>
                <w:color w:val="000000"/>
                <w:sz w:val="18"/>
                <w:szCs w:val="18"/>
              </w:rPr>
              <w:t>Rischio di Evasione</w:t>
            </w:r>
          </w:p>
        </w:tc>
        <w:tc>
          <w:tcPr>
            <w:tcW w:w="1060" w:type="dxa"/>
            <w:tcBorders>
              <w:top w:val="single" w:sz="4" w:space="0" w:color="auto"/>
              <w:left w:val="nil"/>
              <w:bottom w:val="single" w:sz="4" w:space="0" w:color="auto"/>
              <w:right w:val="nil"/>
            </w:tcBorders>
            <w:shd w:val="clear" w:color="auto" w:fill="auto"/>
            <w:vAlign w:val="center"/>
            <w:hideMark/>
          </w:tcPr>
          <w:p w:rsidR="002F1C54" w:rsidRPr="0052380B" w:rsidRDefault="002F1C54" w:rsidP="00D73F13">
            <w:pPr>
              <w:jc w:val="center"/>
              <w:rPr>
                <w:rFonts w:ascii="Garamond" w:hAnsi="Garamond" w:cs="Calibri"/>
                <w:b/>
                <w:bCs/>
                <w:color w:val="000000"/>
                <w:sz w:val="18"/>
                <w:szCs w:val="18"/>
              </w:rPr>
            </w:pPr>
            <w:r w:rsidRPr="0052380B">
              <w:rPr>
                <w:rFonts w:ascii="Garamond" w:hAnsi="Garamond" w:cs="Calibri"/>
                <w:b/>
                <w:bCs/>
                <w:color w:val="000000"/>
                <w:sz w:val="18"/>
                <w:szCs w:val="18"/>
              </w:rPr>
              <w:t>Classe di Rischio</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Romano di Lombardia</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-0,860</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Albino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-0,688</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Nembro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-0,659</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Cologno al Serio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-0,580</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Martinengo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-0,565</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Osio Sotto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-0,429</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4</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Seriate</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-0,339</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4</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Ponte San Pietro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-0,266</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4</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Caravaggio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-0,007</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4</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Stezzano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0,137</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5</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Treviglio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0,153</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5</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Dalmine</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0,496</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5</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Alzano Lombardo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0,586</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6</w:t>
            </w:r>
          </w:p>
        </w:tc>
      </w:tr>
      <w:tr w:rsidR="002F1C54" w:rsidRPr="0052380B" w:rsidTr="00D73F13">
        <w:trPr>
          <w:trHeight w:val="240"/>
        </w:trPr>
        <w:tc>
          <w:tcPr>
            <w:tcW w:w="226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Treviolo</w:t>
            </w:r>
          </w:p>
        </w:tc>
        <w:tc>
          <w:tcPr>
            <w:tcW w:w="106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0,655</w:t>
            </w:r>
          </w:p>
        </w:tc>
        <w:tc>
          <w:tcPr>
            <w:tcW w:w="1060" w:type="dxa"/>
            <w:tcBorders>
              <w:top w:val="nil"/>
              <w:left w:val="nil"/>
              <w:bottom w:val="nil"/>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6</w:t>
            </w:r>
          </w:p>
        </w:tc>
      </w:tr>
      <w:tr w:rsidR="002F1C54" w:rsidRPr="0052380B" w:rsidTr="00D73F13">
        <w:trPr>
          <w:trHeight w:val="240"/>
        </w:trPr>
        <w:tc>
          <w:tcPr>
            <w:tcW w:w="2260" w:type="dxa"/>
            <w:tcBorders>
              <w:top w:val="nil"/>
              <w:left w:val="nil"/>
              <w:bottom w:val="single" w:sz="4" w:space="0" w:color="auto"/>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Bergamo</w:t>
            </w:r>
          </w:p>
        </w:tc>
        <w:tc>
          <w:tcPr>
            <w:tcW w:w="1060" w:type="dxa"/>
            <w:tcBorders>
              <w:top w:val="nil"/>
              <w:left w:val="nil"/>
              <w:bottom w:val="single" w:sz="4" w:space="0" w:color="auto"/>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1,962</w:t>
            </w:r>
          </w:p>
        </w:tc>
        <w:tc>
          <w:tcPr>
            <w:tcW w:w="1060" w:type="dxa"/>
            <w:tcBorders>
              <w:top w:val="nil"/>
              <w:left w:val="nil"/>
              <w:bottom w:val="single" w:sz="4" w:space="0" w:color="auto"/>
              <w:right w:val="nil"/>
            </w:tcBorders>
            <w:shd w:val="clear" w:color="auto" w:fill="auto"/>
            <w:noWrap/>
            <w:vAlign w:val="bottom"/>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8</w:t>
            </w:r>
          </w:p>
        </w:tc>
      </w:tr>
    </w:tbl>
    <w:p w:rsidR="002F1C54" w:rsidRPr="0052380B" w:rsidRDefault="002F1C54" w:rsidP="002F1C54">
      <w:pPr>
        <w:spacing w:after="240"/>
        <w:jc w:val="both"/>
        <w:rPr>
          <w:rFonts w:ascii="Garamond" w:hAnsi="Garamond"/>
          <w:b/>
          <w:bCs/>
          <w:sz w:val="20"/>
          <w:szCs w:val="20"/>
          <w:lang w:eastAsia="en-US"/>
        </w:rPr>
      </w:pPr>
      <w:r w:rsidRPr="0052380B">
        <w:rPr>
          <w:rFonts w:ascii="Garamond" w:hAnsi="Garamond"/>
          <w:b/>
          <w:bCs/>
          <w:sz w:val="20"/>
          <w:szCs w:val="20"/>
          <w:lang w:eastAsia="en-US"/>
        </w:rPr>
        <w:t>Fonte: elaborazioni IRES Morosini</w:t>
      </w:r>
    </w:p>
    <w:p w:rsidR="002F1C54" w:rsidRDefault="002F1C54" w:rsidP="002F1C54">
      <w:pPr>
        <w:spacing w:line="360" w:lineRule="auto"/>
        <w:jc w:val="both"/>
        <w:rPr>
          <w:color w:val="000000"/>
        </w:rPr>
      </w:pPr>
      <w:r w:rsidRPr="0052380B">
        <w:rPr>
          <w:color w:val="000000"/>
        </w:rPr>
        <w:t>Centrando l’analisi sui 15 comuni più popolati della provincia, si può osservare come la situazione più critica, con riferimento agli indicatori utilizzati ed in termini comparati rispetto agli altri comuni, risulti essere quella di Romano di Lombardia, Albino, Nembro, Cologno al Serio, Martinengo, tutti caratterizzati da un indice di rischio di evasione compreso tra -0,5 e -1,0, che li colloca quindi in classe di rischio 3.</w:t>
      </w:r>
    </w:p>
    <w:p w:rsidR="002F1C54" w:rsidRDefault="002F1C54" w:rsidP="002F1C54">
      <w:pPr>
        <w:spacing w:line="360" w:lineRule="auto"/>
        <w:jc w:val="both"/>
        <w:rPr>
          <w:color w:val="000000"/>
        </w:rPr>
      </w:pPr>
      <w:r>
        <w:rPr>
          <w:color w:val="000000"/>
        </w:rPr>
        <w:t>Bisogna inoltre sottolineare come ulteriori 4 comuni</w:t>
      </w:r>
      <w:r>
        <w:rPr>
          <w:rStyle w:val="Rimandonotaapidipagina"/>
          <w:rFonts w:eastAsiaTheme="majorEastAsia"/>
          <w:color w:val="000000"/>
        </w:rPr>
        <w:footnoteReference w:id="10"/>
      </w:r>
      <w:r>
        <w:rPr>
          <w:color w:val="000000"/>
        </w:rPr>
        <w:t xml:space="preserve"> si attestano in classe 4, caratterizzati quindi da un contenuto, ma ancora rilevante, rischio di evasione. Nel complesso quindi 9 dei 15 principali comuni del bergamasco risultano, secondo l’indicatore proposto, essere piuttosto a rischio, in termini comparati rispetto ai 76 comuni utilizzati nell’analisi, per quel che concerne il fenomeno dell’evasione</w:t>
      </w:r>
    </w:p>
    <w:p w:rsidR="002F1C54" w:rsidRPr="00AB1631" w:rsidRDefault="002F1C54" w:rsidP="002F1C54">
      <w:pPr>
        <w:spacing w:line="360" w:lineRule="auto"/>
        <w:jc w:val="both"/>
        <w:rPr>
          <w:color w:val="000000"/>
        </w:rPr>
      </w:pPr>
      <w:r w:rsidRPr="00AB1631">
        <w:rPr>
          <w:color w:val="000000"/>
        </w:rPr>
        <w:t>Risultano p</w:t>
      </w:r>
      <w:r>
        <w:rPr>
          <w:color w:val="000000"/>
        </w:rPr>
        <w:t>iù</w:t>
      </w:r>
      <w:r w:rsidRPr="00AB1631">
        <w:rPr>
          <w:color w:val="000000"/>
        </w:rPr>
        <w:t xml:space="preserve"> </w:t>
      </w:r>
      <w:r>
        <w:rPr>
          <w:color w:val="000000"/>
        </w:rPr>
        <w:t>“</w:t>
      </w:r>
      <w:r w:rsidRPr="00AB1631">
        <w:rPr>
          <w:color w:val="000000"/>
        </w:rPr>
        <w:t>virtuosi</w:t>
      </w:r>
      <w:r>
        <w:rPr>
          <w:color w:val="000000"/>
        </w:rPr>
        <w:t>”</w:t>
      </w:r>
      <w:r w:rsidRPr="00AB1631">
        <w:rPr>
          <w:color w:val="000000"/>
        </w:rPr>
        <w:t>, invece, i comuni di Alzano Lombardo, Treviolo (</w:t>
      </w:r>
      <w:r>
        <w:rPr>
          <w:color w:val="000000"/>
        </w:rPr>
        <w:t xml:space="preserve">entrambi </w:t>
      </w:r>
      <w:r w:rsidRPr="00AB1631">
        <w:rPr>
          <w:color w:val="000000"/>
        </w:rPr>
        <w:t>classe 6) ed in particolare Bergamo</w:t>
      </w:r>
      <w:r>
        <w:rPr>
          <w:color w:val="000000"/>
        </w:rPr>
        <w:t xml:space="preserve"> (classe 8)</w:t>
      </w:r>
      <w:r w:rsidRPr="00AB1631">
        <w:rPr>
          <w:color w:val="000000"/>
        </w:rPr>
        <w:t xml:space="preserve"> che, a fronte di un reddito irpef per dichiarante molto elevato rispetto agli altri comuni del gruppo, presenta un set di items (se si esclude l’ammontare dei depositi per abitante) in linea con gli altri comuni.</w:t>
      </w:r>
    </w:p>
    <w:p w:rsidR="002F1C54" w:rsidRPr="00AB1631" w:rsidRDefault="002F1C54" w:rsidP="002F1C54">
      <w:pPr>
        <w:spacing w:line="360" w:lineRule="auto"/>
        <w:jc w:val="both"/>
        <w:rPr>
          <w:color w:val="000000"/>
        </w:rPr>
      </w:pPr>
      <w:r w:rsidRPr="00AB1631">
        <w:rPr>
          <w:color w:val="000000"/>
        </w:rPr>
        <w:t>Estendendo analoghe considerazioni alla totalità degli enti presi in esame, i comuni di Costa Volpino (-1,5), Clusone (-1,35) e Verdellino (-1,3) si contraddistinguono per i più bassi indice di rischio di evasione (elevata propensione all’evasione) posizionandosi in classe di rischio 2.</w:t>
      </w:r>
    </w:p>
    <w:p w:rsidR="002F1C54" w:rsidRPr="00AB1631" w:rsidRDefault="002F1C54" w:rsidP="002F1C54">
      <w:pPr>
        <w:spacing w:line="360" w:lineRule="auto"/>
        <w:jc w:val="both"/>
        <w:rPr>
          <w:color w:val="000000"/>
        </w:rPr>
      </w:pPr>
      <w:r w:rsidRPr="00AB1631">
        <w:rPr>
          <w:color w:val="000000"/>
        </w:rPr>
        <w:t>Tra i 15 comuni con la più elevata propensione all’evasione evidenziamo inoltre Romano di Lombardia e Albino (entrambi classe di rischio 3) avendo entrambi popolazione prossima ai 20.000 residenti.</w:t>
      </w:r>
    </w:p>
    <w:p w:rsidR="002F1C54" w:rsidRPr="00AB1631" w:rsidRDefault="002F1C54" w:rsidP="002F1C54">
      <w:pPr>
        <w:spacing w:line="360" w:lineRule="auto"/>
        <w:jc w:val="both"/>
        <w:rPr>
          <w:color w:val="000000"/>
        </w:rPr>
      </w:pPr>
      <w:r w:rsidRPr="00AB1631">
        <w:rPr>
          <w:color w:val="000000"/>
        </w:rPr>
        <w:lastRenderedPageBreak/>
        <w:t xml:space="preserve">Se si escludono infatti questi due enti tutti gli altri comuni riportati nella tabella sottostante si caratterizzano per dimensioni demografiche contenute al di sotto dei 10.000 abitanti. </w:t>
      </w:r>
    </w:p>
    <w:p w:rsidR="002F1C54" w:rsidRPr="007E43C5" w:rsidRDefault="002F1C54" w:rsidP="002F1C54">
      <w:pPr>
        <w:jc w:val="both"/>
        <w:rPr>
          <w:rFonts w:ascii="Garamond" w:hAnsi="Garamond"/>
          <w:b/>
          <w:color w:val="000000"/>
          <w:sz w:val="20"/>
          <w:szCs w:val="20"/>
          <w:highlight w:val="yellow"/>
        </w:rPr>
      </w:pPr>
    </w:p>
    <w:p w:rsidR="002F1C54" w:rsidRPr="0052380B" w:rsidRDefault="002F1C54" w:rsidP="002F1C54">
      <w:pPr>
        <w:jc w:val="both"/>
        <w:rPr>
          <w:rFonts w:ascii="Garamond" w:hAnsi="Garamond"/>
          <w:b/>
          <w:color w:val="000000"/>
          <w:sz w:val="20"/>
          <w:szCs w:val="20"/>
        </w:rPr>
      </w:pPr>
      <w:r w:rsidRPr="0052380B">
        <w:rPr>
          <w:rFonts w:ascii="Garamond" w:hAnsi="Garamond"/>
          <w:b/>
          <w:color w:val="000000"/>
          <w:sz w:val="20"/>
          <w:szCs w:val="20"/>
        </w:rPr>
        <w:t xml:space="preserve">Rischio di evasione e classe di rischio comunale. </w:t>
      </w:r>
    </w:p>
    <w:p w:rsidR="002F1C54" w:rsidRPr="0052380B" w:rsidRDefault="002F1C54" w:rsidP="002F1C54">
      <w:pPr>
        <w:jc w:val="both"/>
        <w:rPr>
          <w:b/>
          <w:color w:val="000000"/>
        </w:rPr>
      </w:pPr>
      <w:r w:rsidRPr="0052380B">
        <w:rPr>
          <w:rFonts w:ascii="Garamond" w:hAnsi="Garamond"/>
          <w:b/>
          <w:color w:val="000000"/>
          <w:sz w:val="20"/>
          <w:szCs w:val="20"/>
        </w:rPr>
        <w:t xml:space="preserve">I comuni della provincia di </w:t>
      </w:r>
      <w:r>
        <w:rPr>
          <w:rFonts w:ascii="Garamond" w:hAnsi="Garamond"/>
          <w:b/>
          <w:color w:val="000000"/>
          <w:sz w:val="20"/>
          <w:szCs w:val="20"/>
        </w:rPr>
        <w:t>Bergqamo</w:t>
      </w:r>
      <w:r w:rsidRPr="0052380B">
        <w:rPr>
          <w:rFonts w:ascii="Garamond" w:hAnsi="Garamond"/>
          <w:b/>
          <w:color w:val="000000"/>
          <w:sz w:val="20"/>
          <w:szCs w:val="20"/>
        </w:rPr>
        <w:t xml:space="preserve"> con maggior propensione all’evasione</w:t>
      </w:r>
    </w:p>
    <w:tbl>
      <w:tblPr>
        <w:tblW w:w="4880" w:type="dxa"/>
        <w:tblInd w:w="55" w:type="dxa"/>
        <w:tblCellMar>
          <w:left w:w="70" w:type="dxa"/>
          <w:right w:w="70" w:type="dxa"/>
        </w:tblCellMar>
        <w:tblLook w:val="04A0"/>
      </w:tblPr>
      <w:tblGrid>
        <w:gridCol w:w="2520"/>
        <w:gridCol w:w="1180"/>
        <w:gridCol w:w="1180"/>
      </w:tblGrid>
      <w:tr w:rsidR="002F1C54" w:rsidRPr="0052380B" w:rsidTr="00D73F13">
        <w:trPr>
          <w:trHeight w:val="480"/>
        </w:trPr>
        <w:tc>
          <w:tcPr>
            <w:tcW w:w="2520" w:type="dxa"/>
            <w:tcBorders>
              <w:top w:val="single" w:sz="4" w:space="0" w:color="auto"/>
              <w:left w:val="nil"/>
              <w:bottom w:val="single" w:sz="4" w:space="0" w:color="auto"/>
              <w:right w:val="nil"/>
            </w:tcBorders>
            <w:shd w:val="clear" w:color="auto" w:fill="auto"/>
            <w:noWrap/>
            <w:vAlign w:val="bottom"/>
            <w:hideMark/>
          </w:tcPr>
          <w:p w:rsidR="002F1C54" w:rsidRPr="0052380B" w:rsidRDefault="002F1C54" w:rsidP="00D73F13">
            <w:pPr>
              <w:rPr>
                <w:rFonts w:ascii="Garamond" w:hAnsi="Garamond" w:cs="Calibri"/>
                <w:color w:val="000000"/>
                <w:sz w:val="18"/>
                <w:szCs w:val="18"/>
              </w:rPr>
            </w:pPr>
            <w:r w:rsidRPr="0052380B">
              <w:rPr>
                <w:rFonts w:ascii="Garamond" w:hAnsi="Garamond" w:cs="Calibri"/>
                <w:color w:val="000000"/>
                <w:sz w:val="18"/>
                <w:szCs w:val="18"/>
              </w:rPr>
              <w:t> </w:t>
            </w:r>
          </w:p>
        </w:tc>
        <w:tc>
          <w:tcPr>
            <w:tcW w:w="1180" w:type="dxa"/>
            <w:tcBorders>
              <w:top w:val="single" w:sz="4" w:space="0" w:color="auto"/>
              <w:left w:val="nil"/>
              <w:bottom w:val="single" w:sz="4" w:space="0" w:color="auto"/>
              <w:right w:val="nil"/>
            </w:tcBorders>
            <w:shd w:val="clear" w:color="auto" w:fill="auto"/>
            <w:vAlign w:val="center"/>
            <w:hideMark/>
          </w:tcPr>
          <w:p w:rsidR="002F1C54" w:rsidRPr="0052380B" w:rsidRDefault="002F1C54" w:rsidP="00D73F13">
            <w:pPr>
              <w:jc w:val="center"/>
              <w:rPr>
                <w:rFonts w:ascii="Garamond" w:hAnsi="Garamond" w:cs="Calibri"/>
                <w:b/>
                <w:bCs/>
                <w:color w:val="000000"/>
                <w:sz w:val="18"/>
                <w:szCs w:val="18"/>
              </w:rPr>
            </w:pPr>
            <w:r w:rsidRPr="0052380B">
              <w:rPr>
                <w:rFonts w:ascii="Garamond" w:hAnsi="Garamond" w:cs="Calibri"/>
                <w:b/>
                <w:bCs/>
                <w:color w:val="000000"/>
                <w:sz w:val="18"/>
                <w:szCs w:val="18"/>
              </w:rPr>
              <w:t>Rischio di Evasione</w:t>
            </w:r>
          </w:p>
        </w:tc>
        <w:tc>
          <w:tcPr>
            <w:tcW w:w="1180" w:type="dxa"/>
            <w:tcBorders>
              <w:top w:val="single" w:sz="4" w:space="0" w:color="auto"/>
              <w:left w:val="nil"/>
              <w:bottom w:val="single" w:sz="4" w:space="0" w:color="auto"/>
              <w:right w:val="nil"/>
            </w:tcBorders>
            <w:shd w:val="clear" w:color="auto" w:fill="auto"/>
            <w:vAlign w:val="center"/>
            <w:hideMark/>
          </w:tcPr>
          <w:p w:rsidR="002F1C54" w:rsidRPr="0052380B" w:rsidRDefault="002F1C54" w:rsidP="00D73F13">
            <w:pPr>
              <w:jc w:val="center"/>
              <w:rPr>
                <w:rFonts w:ascii="Garamond" w:hAnsi="Garamond" w:cs="Calibri"/>
                <w:b/>
                <w:bCs/>
                <w:color w:val="000000"/>
                <w:sz w:val="18"/>
                <w:szCs w:val="18"/>
              </w:rPr>
            </w:pPr>
            <w:r w:rsidRPr="0052380B">
              <w:rPr>
                <w:rFonts w:ascii="Garamond" w:hAnsi="Garamond" w:cs="Calibri"/>
                <w:b/>
                <w:bCs/>
                <w:color w:val="000000"/>
                <w:sz w:val="18"/>
                <w:szCs w:val="18"/>
              </w:rPr>
              <w:t>Classe di Rischio</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Costa Volpino</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-1,494</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2</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Clusone</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-1,351</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2</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Verdellino</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-1,299</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2</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Ghisalba</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-0,986</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Zogno</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-0,969</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Villongo</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-0,938</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San Paolo d'Argon</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-0,928</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Gazzaniga</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-0,927</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Calusco d'Adda</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-0,891</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Romano di Lombardia</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-0,860</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Calcio</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-0,850</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Pontirolo Nuovo</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-0,846</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San Giovanni Bianco</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-0,791</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nil"/>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Palosco</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-0,709</w:t>
            </w:r>
          </w:p>
        </w:tc>
        <w:tc>
          <w:tcPr>
            <w:tcW w:w="1180" w:type="dxa"/>
            <w:tcBorders>
              <w:top w:val="nil"/>
              <w:left w:val="nil"/>
              <w:bottom w:val="nil"/>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r w:rsidR="002F1C54" w:rsidRPr="0052380B" w:rsidTr="00D73F13">
        <w:trPr>
          <w:trHeight w:val="300"/>
        </w:trPr>
        <w:tc>
          <w:tcPr>
            <w:tcW w:w="2520" w:type="dxa"/>
            <w:tcBorders>
              <w:top w:val="nil"/>
              <w:left w:val="nil"/>
              <w:bottom w:val="single" w:sz="4" w:space="0" w:color="auto"/>
              <w:right w:val="nil"/>
            </w:tcBorders>
            <w:shd w:val="clear" w:color="auto" w:fill="auto"/>
            <w:noWrap/>
            <w:vAlign w:val="center"/>
            <w:hideMark/>
          </w:tcPr>
          <w:p w:rsidR="002F1C54" w:rsidRPr="0052380B" w:rsidRDefault="002F1C54" w:rsidP="00D73F13">
            <w:pPr>
              <w:rPr>
                <w:rFonts w:ascii="Garamond" w:hAnsi="Garamond" w:cs="Calibri"/>
                <w:b/>
                <w:bCs/>
                <w:color w:val="000000"/>
                <w:sz w:val="18"/>
                <w:szCs w:val="18"/>
              </w:rPr>
            </w:pPr>
            <w:r w:rsidRPr="0052380B">
              <w:rPr>
                <w:rFonts w:ascii="Garamond" w:hAnsi="Garamond" w:cs="Calibri"/>
                <w:b/>
                <w:bCs/>
                <w:color w:val="000000"/>
                <w:sz w:val="18"/>
                <w:szCs w:val="18"/>
              </w:rPr>
              <w:t>Albino</w:t>
            </w:r>
          </w:p>
        </w:tc>
        <w:tc>
          <w:tcPr>
            <w:tcW w:w="1180" w:type="dxa"/>
            <w:tcBorders>
              <w:top w:val="nil"/>
              <w:left w:val="nil"/>
              <w:bottom w:val="single" w:sz="4" w:space="0" w:color="auto"/>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-0,688</w:t>
            </w:r>
          </w:p>
        </w:tc>
        <w:tc>
          <w:tcPr>
            <w:tcW w:w="1180" w:type="dxa"/>
            <w:tcBorders>
              <w:top w:val="nil"/>
              <w:left w:val="nil"/>
              <w:bottom w:val="single" w:sz="4" w:space="0" w:color="auto"/>
              <w:right w:val="nil"/>
            </w:tcBorders>
            <w:shd w:val="clear" w:color="auto" w:fill="auto"/>
            <w:noWrap/>
            <w:vAlign w:val="center"/>
            <w:hideMark/>
          </w:tcPr>
          <w:p w:rsidR="002F1C54" w:rsidRPr="0052380B" w:rsidRDefault="002F1C54" w:rsidP="00D73F13">
            <w:pPr>
              <w:jc w:val="center"/>
              <w:rPr>
                <w:rFonts w:ascii="Garamond" w:hAnsi="Garamond" w:cs="Calibri"/>
                <w:color w:val="000000"/>
                <w:sz w:val="18"/>
                <w:szCs w:val="18"/>
              </w:rPr>
            </w:pPr>
            <w:r w:rsidRPr="0052380B">
              <w:rPr>
                <w:rFonts w:ascii="Garamond" w:hAnsi="Garamond" w:cs="Calibri"/>
                <w:color w:val="000000"/>
                <w:sz w:val="18"/>
                <w:szCs w:val="18"/>
              </w:rPr>
              <w:t>3</w:t>
            </w:r>
          </w:p>
        </w:tc>
      </w:tr>
    </w:tbl>
    <w:p w:rsidR="002F1C54" w:rsidRPr="0052380B" w:rsidRDefault="002F1C54" w:rsidP="002F1C54">
      <w:pPr>
        <w:jc w:val="both"/>
        <w:rPr>
          <w:rFonts w:ascii="Garamond" w:hAnsi="Garamond"/>
          <w:b/>
          <w:bCs/>
          <w:sz w:val="20"/>
          <w:szCs w:val="20"/>
          <w:lang w:eastAsia="en-US"/>
        </w:rPr>
      </w:pPr>
      <w:r w:rsidRPr="0052380B">
        <w:rPr>
          <w:rFonts w:ascii="Garamond" w:hAnsi="Garamond"/>
          <w:b/>
          <w:bCs/>
          <w:sz w:val="20"/>
          <w:szCs w:val="20"/>
          <w:lang w:eastAsia="en-US"/>
        </w:rPr>
        <w:t>Fonte: elaborazioni IRES Morosini</w:t>
      </w:r>
    </w:p>
    <w:p w:rsidR="002F1C54" w:rsidRPr="0052380B" w:rsidRDefault="002F1C54" w:rsidP="002F1C54">
      <w:pPr>
        <w:jc w:val="both"/>
        <w:rPr>
          <w:rFonts w:ascii="Garamond" w:hAnsi="Garamond"/>
          <w:b/>
          <w:color w:val="000000"/>
          <w:sz w:val="20"/>
          <w:szCs w:val="20"/>
        </w:rPr>
      </w:pPr>
    </w:p>
    <w:p w:rsidR="002F1C54" w:rsidRPr="007E43C5" w:rsidRDefault="002F1C54" w:rsidP="002F1C54">
      <w:pPr>
        <w:spacing w:line="360" w:lineRule="auto"/>
        <w:jc w:val="both"/>
        <w:rPr>
          <w:color w:val="000000"/>
          <w:highlight w:val="yellow"/>
        </w:rPr>
      </w:pPr>
    </w:p>
    <w:p w:rsidR="002F1C54" w:rsidRPr="003175A8" w:rsidRDefault="002F1C54" w:rsidP="002F1C54">
      <w:pPr>
        <w:spacing w:line="360" w:lineRule="auto"/>
        <w:jc w:val="both"/>
        <w:rPr>
          <w:color w:val="000000"/>
        </w:rPr>
      </w:pPr>
      <w:r>
        <w:rPr>
          <w:color w:val="000000"/>
        </w:rPr>
        <w:t>Concludendo</w:t>
      </w:r>
      <w:r w:rsidRPr="003175A8">
        <w:rPr>
          <w:color w:val="000000"/>
        </w:rPr>
        <w:t>, facendo riferimento ai dati riportati di seguito, le categorie maggiormente diffuse tra i comuni della provincia di Bergamo risultano la classe 4 (30,3%), vale a dire quella caratterizzata da un contenuto, ma ancora rilevante, rischio di evasione, e la classe 3 (23,7%) quella cioè che racchiude i comuni con un rischio di evasione abbastanza elevato.</w:t>
      </w:r>
    </w:p>
    <w:p w:rsidR="002F1C54" w:rsidRPr="003175A8" w:rsidRDefault="002F1C54" w:rsidP="002F1C54">
      <w:pPr>
        <w:spacing w:line="360" w:lineRule="auto"/>
        <w:jc w:val="both"/>
        <w:rPr>
          <w:color w:val="000000"/>
        </w:rPr>
      </w:pPr>
      <w:r w:rsidRPr="003175A8">
        <w:rPr>
          <w:color w:val="000000"/>
        </w:rPr>
        <w:t>Appena meno frequente l’appartenenza dei comuni alla classe 5 (22,4%), quella dove il rischio di evasione risulta piuttosto basso.</w:t>
      </w:r>
    </w:p>
    <w:p w:rsidR="002F1C54" w:rsidRPr="003175A8" w:rsidRDefault="002F1C54" w:rsidP="002F1C54">
      <w:pPr>
        <w:spacing w:after="240" w:line="360" w:lineRule="auto"/>
        <w:jc w:val="both"/>
        <w:rPr>
          <w:color w:val="000000"/>
        </w:rPr>
      </w:pPr>
      <w:r w:rsidRPr="003175A8">
        <w:rPr>
          <w:color w:val="000000"/>
        </w:rPr>
        <w:t xml:space="preserve">Alle prime tre classi, quelle cioè caratterizzate dalla più elevata propensione all’evasione, appartengono il 27,6 % dei comuni del </w:t>
      </w:r>
      <w:r>
        <w:rPr>
          <w:color w:val="000000"/>
        </w:rPr>
        <w:t>bergamasco;</w:t>
      </w:r>
      <w:r w:rsidRPr="003175A8">
        <w:rPr>
          <w:color w:val="000000"/>
        </w:rPr>
        <w:t xml:space="preserve"> la consistenza della classe 2 </w:t>
      </w:r>
      <w:r>
        <w:rPr>
          <w:color w:val="000000"/>
        </w:rPr>
        <w:t xml:space="preserve">comunque </w:t>
      </w:r>
      <w:r w:rsidRPr="003175A8">
        <w:rPr>
          <w:color w:val="000000"/>
        </w:rPr>
        <w:t>risulta piuttosto bassa (3,9%), mentre nessun comune ricade nella classe 1.</w:t>
      </w:r>
    </w:p>
    <w:p w:rsidR="002F1C54" w:rsidRPr="00AB1631" w:rsidRDefault="002F1C54" w:rsidP="002F1C54">
      <w:pPr>
        <w:spacing w:line="360" w:lineRule="auto"/>
        <w:jc w:val="both"/>
        <w:rPr>
          <w:rFonts w:ascii="Garamond" w:hAnsi="Garamond"/>
          <w:b/>
          <w:bCs/>
          <w:color w:val="000000"/>
          <w:sz w:val="20"/>
          <w:szCs w:val="20"/>
          <w:lang w:eastAsia="en-US"/>
        </w:rPr>
      </w:pPr>
      <w:r w:rsidRPr="00AB1631">
        <w:rPr>
          <w:rFonts w:ascii="Garamond" w:hAnsi="Garamond"/>
          <w:b/>
          <w:bCs/>
          <w:color w:val="000000"/>
          <w:sz w:val="20"/>
          <w:szCs w:val="20"/>
          <w:lang w:eastAsia="en-US"/>
        </w:rPr>
        <w:t xml:space="preserve">Distribuzione classi rischio di evasione nei comuni della provincia di </w:t>
      </w:r>
      <w:r>
        <w:rPr>
          <w:rFonts w:ascii="Garamond" w:hAnsi="Garamond"/>
          <w:b/>
          <w:bCs/>
          <w:color w:val="000000"/>
          <w:sz w:val="20"/>
          <w:szCs w:val="20"/>
          <w:lang w:eastAsia="en-US"/>
        </w:rPr>
        <w:t>Bergamo</w:t>
      </w:r>
    </w:p>
    <w:tbl>
      <w:tblPr>
        <w:tblW w:w="3020" w:type="dxa"/>
        <w:tblInd w:w="55" w:type="dxa"/>
        <w:tblCellMar>
          <w:left w:w="70" w:type="dxa"/>
          <w:right w:w="70" w:type="dxa"/>
        </w:tblCellMar>
        <w:tblLook w:val="04A0"/>
      </w:tblPr>
      <w:tblGrid>
        <w:gridCol w:w="1960"/>
        <w:gridCol w:w="1060"/>
      </w:tblGrid>
      <w:tr w:rsidR="002F1C54" w:rsidRPr="00AB1631" w:rsidTr="00D73F13">
        <w:trPr>
          <w:trHeight w:val="240"/>
        </w:trPr>
        <w:tc>
          <w:tcPr>
            <w:tcW w:w="1960" w:type="dxa"/>
            <w:tcBorders>
              <w:top w:val="single" w:sz="4" w:space="0" w:color="auto"/>
              <w:left w:val="nil"/>
              <w:bottom w:val="single" w:sz="4" w:space="0" w:color="auto"/>
              <w:right w:val="nil"/>
            </w:tcBorders>
            <w:shd w:val="clear" w:color="auto" w:fill="auto"/>
            <w:noWrap/>
            <w:vAlign w:val="bottom"/>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Classe</w:t>
            </w:r>
          </w:p>
        </w:tc>
        <w:tc>
          <w:tcPr>
            <w:tcW w:w="1060" w:type="dxa"/>
            <w:tcBorders>
              <w:top w:val="single" w:sz="4" w:space="0" w:color="auto"/>
              <w:left w:val="nil"/>
              <w:bottom w:val="single" w:sz="4" w:space="0" w:color="auto"/>
              <w:right w:val="nil"/>
            </w:tcBorders>
            <w:shd w:val="clear" w:color="auto" w:fill="auto"/>
            <w:vAlign w:val="center"/>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w:t>
            </w:r>
          </w:p>
        </w:tc>
      </w:tr>
      <w:tr w:rsidR="002F1C54" w:rsidRPr="00AB1631" w:rsidTr="00D73F13">
        <w:trPr>
          <w:trHeight w:val="240"/>
        </w:trPr>
        <w:tc>
          <w:tcPr>
            <w:tcW w:w="19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1</w:t>
            </w:r>
          </w:p>
        </w:tc>
        <w:tc>
          <w:tcPr>
            <w:tcW w:w="10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color w:val="000000"/>
                <w:sz w:val="18"/>
                <w:szCs w:val="18"/>
              </w:rPr>
            </w:pPr>
            <w:r w:rsidRPr="00AB1631">
              <w:rPr>
                <w:rFonts w:ascii="Garamond" w:hAnsi="Garamond" w:cs="Calibri"/>
                <w:color w:val="000000"/>
                <w:sz w:val="18"/>
                <w:szCs w:val="18"/>
              </w:rPr>
              <w:t>0,0</w:t>
            </w:r>
          </w:p>
        </w:tc>
      </w:tr>
      <w:tr w:rsidR="002F1C54" w:rsidRPr="00AB1631" w:rsidTr="00D73F13">
        <w:trPr>
          <w:trHeight w:val="240"/>
        </w:trPr>
        <w:tc>
          <w:tcPr>
            <w:tcW w:w="19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2</w:t>
            </w:r>
          </w:p>
        </w:tc>
        <w:tc>
          <w:tcPr>
            <w:tcW w:w="10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color w:val="000000"/>
                <w:sz w:val="18"/>
                <w:szCs w:val="18"/>
              </w:rPr>
            </w:pPr>
            <w:r w:rsidRPr="00AB1631">
              <w:rPr>
                <w:rFonts w:ascii="Garamond" w:hAnsi="Garamond" w:cs="Calibri"/>
                <w:color w:val="000000"/>
                <w:sz w:val="18"/>
                <w:szCs w:val="18"/>
              </w:rPr>
              <w:t>3,9</w:t>
            </w:r>
          </w:p>
        </w:tc>
      </w:tr>
      <w:tr w:rsidR="002F1C54" w:rsidRPr="00AB1631" w:rsidTr="00D73F13">
        <w:trPr>
          <w:trHeight w:val="240"/>
        </w:trPr>
        <w:tc>
          <w:tcPr>
            <w:tcW w:w="19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3</w:t>
            </w:r>
          </w:p>
        </w:tc>
        <w:tc>
          <w:tcPr>
            <w:tcW w:w="10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color w:val="000000"/>
                <w:sz w:val="18"/>
                <w:szCs w:val="18"/>
              </w:rPr>
            </w:pPr>
            <w:r w:rsidRPr="00AB1631">
              <w:rPr>
                <w:rFonts w:ascii="Garamond" w:hAnsi="Garamond" w:cs="Calibri"/>
                <w:color w:val="000000"/>
                <w:sz w:val="18"/>
                <w:szCs w:val="18"/>
              </w:rPr>
              <w:t>23,7</w:t>
            </w:r>
          </w:p>
        </w:tc>
      </w:tr>
      <w:tr w:rsidR="002F1C54" w:rsidRPr="00AB1631" w:rsidTr="00D73F13">
        <w:trPr>
          <w:trHeight w:val="240"/>
        </w:trPr>
        <w:tc>
          <w:tcPr>
            <w:tcW w:w="19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4</w:t>
            </w:r>
          </w:p>
        </w:tc>
        <w:tc>
          <w:tcPr>
            <w:tcW w:w="10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color w:val="000000"/>
                <w:sz w:val="18"/>
                <w:szCs w:val="18"/>
              </w:rPr>
            </w:pPr>
            <w:r w:rsidRPr="00AB1631">
              <w:rPr>
                <w:rFonts w:ascii="Garamond" w:hAnsi="Garamond" w:cs="Calibri"/>
                <w:color w:val="000000"/>
                <w:sz w:val="18"/>
                <w:szCs w:val="18"/>
              </w:rPr>
              <w:t>30,3</w:t>
            </w:r>
          </w:p>
        </w:tc>
      </w:tr>
      <w:tr w:rsidR="002F1C54" w:rsidRPr="00AB1631" w:rsidTr="00D73F13">
        <w:trPr>
          <w:trHeight w:val="240"/>
        </w:trPr>
        <w:tc>
          <w:tcPr>
            <w:tcW w:w="19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5</w:t>
            </w:r>
          </w:p>
        </w:tc>
        <w:tc>
          <w:tcPr>
            <w:tcW w:w="10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color w:val="000000"/>
                <w:sz w:val="18"/>
                <w:szCs w:val="18"/>
              </w:rPr>
            </w:pPr>
            <w:r w:rsidRPr="00AB1631">
              <w:rPr>
                <w:rFonts w:ascii="Garamond" w:hAnsi="Garamond" w:cs="Calibri"/>
                <w:color w:val="000000"/>
                <w:sz w:val="18"/>
                <w:szCs w:val="18"/>
              </w:rPr>
              <w:t>22,4</w:t>
            </w:r>
          </w:p>
        </w:tc>
      </w:tr>
      <w:tr w:rsidR="002F1C54" w:rsidRPr="00AB1631" w:rsidTr="00D73F13">
        <w:trPr>
          <w:trHeight w:val="240"/>
        </w:trPr>
        <w:tc>
          <w:tcPr>
            <w:tcW w:w="19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6</w:t>
            </w:r>
          </w:p>
        </w:tc>
        <w:tc>
          <w:tcPr>
            <w:tcW w:w="10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color w:val="000000"/>
                <w:sz w:val="18"/>
                <w:szCs w:val="18"/>
              </w:rPr>
            </w:pPr>
            <w:r w:rsidRPr="00AB1631">
              <w:rPr>
                <w:rFonts w:ascii="Garamond" w:hAnsi="Garamond" w:cs="Calibri"/>
                <w:color w:val="000000"/>
                <w:sz w:val="18"/>
                <w:szCs w:val="18"/>
              </w:rPr>
              <w:t>11,8</w:t>
            </w:r>
          </w:p>
        </w:tc>
      </w:tr>
      <w:tr w:rsidR="002F1C54" w:rsidRPr="00AB1631" w:rsidTr="00D73F13">
        <w:trPr>
          <w:trHeight w:val="240"/>
        </w:trPr>
        <w:tc>
          <w:tcPr>
            <w:tcW w:w="19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7</w:t>
            </w:r>
          </w:p>
        </w:tc>
        <w:tc>
          <w:tcPr>
            <w:tcW w:w="1060" w:type="dxa"/>
            <w:tcBorders>
              <w:top w:val="nil"/>
              <w:left w:val="nil"/>
              <w:bottom w:val="nil"/>
              <w:right w:val="nil"/>
            </w:tcBorders>
            <w:shd w:val="clear" w:color="auto" w:fill="auto"/>
            <w:noWrap/>
            <w:vAlign w:val="center"/>
            <w:hideMark/>
          </w:tcPr>
          <w:p w:rsidR="002F1C54" w:rsidRPr="00AB1631" w:rsidRDefault="002F1C54" w:rsidP="00D73F13">
            <w:pPr>
              <w:jc w:val="center"/>
              <w:rPr>
                <w:rFonts w:ascii="Garamond" w:hAnsi="Garamond" w:cs="Calibri"/>
                <w:color w:val="000000"/>
                <w:sz w:val="18"/>
                <w:szCs w:val="18"/>
              </w:rPr>
            </w:pPr>
            <w:r w:rsidRPr="00AB1631">
              <w:rPr>
                <w:rFonts w:ascii="Garamond" w:hAnsi="Garamond" w:cs="Calibri"/>
                <w:color w:val="000000"/>
                <w:sz w:val="18"/>
                <w:szCs w:val="18"/>
              </w:rPr>
              <w:t>1,3</w:t>
            </w:r>
          </w:p>
        </w:tc>
      </w:tr>
      <w:tr w:rsidR="002F1C54" w:rsidRPr="00AB1631" w:rsidTr="00D73F13">
        <w:trPr>
          <w:trHeight w:val="240"/>
        </w:trPr>
        <w:tc>
          <w:tcPr>
            <w:tcW w:w="1960" w:type="dxa"/>
            <w:tcBorders>
              <w:top w:val="nil"/>
              <w:left w:val="nil"/>
              <w:bottom w:val="single" w:sz="4" w:space="0" w:color="auto"/>
              <w:right w:val="nil"/>
            </w:tcBorders>
            <w:shd w:val="clear" w:color="auto" w:fill="auto"/>
            <w:noWrap/>
            <w:vAlign w:val="center"/>
            <w:hideMark/>
          </w:tcPr>
          <w:p w:rsidR="002F1C54" w:rsidRPr="00AB1631" w:rsidRDefault="002F1C54" w:rsidP="00D73F13">
            <w:pPr>
              <w:jc w:val="center"/>
              <w:rPr>
                <w:rFonts w:ascii="Garamond" w:hAnsi="Garamond" w:cs="Calibri"/>
                <w:b/>
                <w:bCs/>
                <w:color w:val="000000"/>
                <w:sz w:val="18"/>
                <w:szCs w:val="18"/>
              </w:rPr>
            </w:pPr>
            <w:r w:rsidRPr="00AB1631">
              <w:rPr>
                <w:rFonts w:ascii="Garamond" w:hAnsi="Garamond" w:cs="Calibri"/>
                <w:b/>
                <w:bCs/>
                <w:color w:val="000000"/>
                <w:sz w:val="18"/>
                <w:szCs w:val="18"/>
              </w:rPr>
              <w:t>8</w:t>
            </w:r>
          </w:p>
        </w:tc>
        <w:tc>
          <w:tcPr>
            <w:tcW w:w="1060" w:type="dxa"/>
            <w:tcBorders>
              <w:top w:val="nil"/>
              <w:left w:val="nil"/>
              <w:bottom w:val="single" w:sz="4" w:space="0" w:color="auto"/>
              <w:right w:val="nil"/>
            </w:tcBorders>
            <w:shd w:val="clear" w:color="auto" w:fill="auto"/>
            <w:noWrap/>
            <w:vAlign w:val="center"/>
            <w:hideMark/>
          </w:tcPr>
          <w:p w:rsidR="002F1C54" w:rsidRPr="00AB1631" w:rsidRDefault="002F1C54" w:rsidP="00D73F13">
            <w:pPr>
              <w:jc w:val="center"/>
              <w:rPr>
                <w:rFonts w:ascii="Garamond" w:hAnsi="Garamond" w:cs="Calibri"/>
                <w:color w:val="000000"/>
                <w:sz w:val="18"/>
                <w:szCs w:val="18"/>
              </w:rPr>
            </w:pPr>
            <w:r w:rsidRPr="00AB1631">
              <w:rPr>
                <w:rFonts w:ascii="Garamond" w:hAnsi="Garamond" w:cs="Calibri"/>
                <w:color w:val="000000"/>
                <w:sz w:val="18"/>
                <w:szCs w:val="18"/>
              </w:rPr>
              <w:t>6,6</w:t>
            </w:r>
          </w:p>
        </w:tc>
      </w:tr>
    </w:tbl>
    <w:p w:rsidR="002F1C54" w:rsidRPr="00AB1631" w:rsidRDefault="002F1C54" w:rsidP="002F1C54">
      <w:pPr>
        <w:spacing w:line="360" w:lineRule="auto"/>
        <w:jc w:val="both"/>
        <w:rPr>
          <w:color w:val="000000"/>
        </w:rPr>
      </w:pPr>
      <w:r w:rsidRPr="00AB1631">
        <w:rPr>
          <w:rFonts w:ascii="Garamond" w:hAnsi="Garamond"/>
          <w:b/>
          <w:bCs/>
          <w:color w:val="000000"/>
          <w:sz w:val="18"/>
          <w:szCs w:val="18"/>
          <w:lang w:val="en-US" w:eastAsia="en-US"/>
        </w:rPr>
        <w:t>Fonte: elaborazione IRES Morosini</w:t>
      </w:r>
    </w:p>
    <w:p w:rsidR="002F1C54" w:rsidRPr="004E0C3F" w:rsidRDefault="002F1C54" w:rsidP="002F1C54">
      <w:pPr>
        <w:spacing w:before="240" w:after="240" w:line="360" w:lineRule="auto"/>
        <w:jc w:val="both"/>
        <w:rPr>
          <w:color w:val="000000"/>
        </w:rPr>
      </w:pPr>
      <w:r w:rsidRPr="003175A8">
        <w:rPr>
          <w:color w:val="000000"/>
        </w:rPr>
        <w:lastRenderedPageBreak/>
        <w:t>Sottolineiamo ancora una volta come l’indicatore di rischio di evasione e la conseguente suddivisione in classi di rischio hanno validità unicamente in termini comparati all’interno dei 76 comuni della provincia presi in esame. Più in generale ricordiamo come il bergamasco, in base allo studio presentato nella prima parte del rapporto, sia già stato indicato come un territorio</w:t>
      </w:r>
      <w:r>
        <w:rPr>
          <w:color w:val="000000"/>
        </w:rPr>
        <w:t xml:space="preserve"> </w:t>
      </w:r>
      <w:r w:rsidRPr="003175A8">
        <w:rPr>
          <w:color w:val="000000"/>
        </w:rPr>
        <w:t xml:space="preserve">della Lombardia con una propensione all’evasione </w:t>
      </w:r>
      <w:r>
        <w:rPr>
          <w:color w:val="000000"/>
        </w:rPr>
        <w:t>piuttosto</w:t>
      </w:r>
      <w:r w:rsidRPr="003175A8">
        <w:rPr>
          <w:color w:val="000000"/>
        </w:rPr>
        <w:t xml:space="preserve"> elevat</w:t>
      </w:r>
      <w:r>
        <w:rPr>
          <w:color w:val="000000"/>
        </w:rPr>
        <w:t>a</w:t>
      </w:r>
      <w:r w:rsidRPr="003175A8">
        <w:rPr>
          <w:color w:val="000000"/>
        </w:rPr>
        <w:t xml:space="preserve">, </w:t>
      </w:r>
      <w:r>
        <w:rPr>
          <w:color w:val="000000"/>
        </w:rPr>
        <w:t>sebbene l’indicatore presenti caratteristiche meno marcate rispetto alle province di Brescia, Sondrio e Mantova.</w:t>
      </w:r>
    </w:p>
    <w:p w:rsidR="002F1C54" w:rsidRDefault="002F1C54" w:rsidP="002F1C54">
      <w:pPr>
        <w:spacing w:line="360" w:lineRule="auto"/>
        <w:jc w:val="both"/>
        <w:rPr>
          <w:color w:val="000000"/>
        </w:rPr>
      </w:pPr>
    </w:p>
    <w:p w:rsidR="0055431B" w:rsidRDefault="0055431B"/>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Default="00D77B0E"/>
    <w:p w:rsidR="00D77B0E" w:rsidRPr="00043771" w:rsidRDefault="00D77B0E" w:rsidP="00D77B0E">
      <w:pPr>
        <w:pStyle w:val="Titolo1"/>
        <w:spacing w:before="0" w:line="360" w:lineRule="exact"/>
      </w:pPr>
      <w:bookmarkStart w:id="22" w:name="_Toc355947188"/>
      <w:bookmarkStart w:id="23" w:name="_Toc356470419"/>
      <w:r w:rsidRPr="00043771">
        <w:lastRenderedPageBreak/>
        <w:t>Gli indicatori socio – economici e i bilanci comunali. Il problema della destinazione delle risorse recuperate dalla lotta all’evasione.</w:t>
      </w:r>
      <w:bookmarkEnd w:id="22"/>
      <w:bookmarkEnd w:id="23"/>
      <w:r w:rsidRPr="00043771">
        <w:t xml:space="preserve"> </w:t>
      </w:r>
    </w:p>
    <w:p w:rsidR="00D77B0E" w:rsidRDefault="00D77B0E" w:rsidP="00D77B0E">
      <w:pPr>
        <w:spacing w:line="360" w:lineRule="auto"/>
      </w:pPr>
    </w:p>
    <w:p w:rsidR="00D77B0E" w:rsidRPr="0090305A" w:rsidRDefault="00D77B0E" w:rsidP="00D77B0E">
      <w:pPr>
        <w:spacing w:line="360" w:lineRule="auto"/>
        <w:jc w:val="both"/>
        <w:rPr>
          <w:rStyle w:val="current"/>
          <w:b/>
        </w:rPr>
      </w:pPr>
      <w:r w:rsidRPr="0090305A">
        <w:rPr>
          <w:rStyle w:val="current"/>
          <w:b/>
        </w:rPr>
        <w:t>Premessa</w:t>
      </w:r>
    </w:p>
    <w:p w:rsidR="00D77B0E" w:rsidRPr="000F56E0" w:rsidRDefault="00D77B0E" w:rsidP="00D77B0E">
      <w:pPr>
        <w:spacing w:line="360" w:lineRule="auto"/>
        <w:jc w:val="both"/>
        <w:rPr>
          <w:rStyle w:val="current"/>
        </w:rPr>
      </w:pPr>
      <w:r>
        <w:rPr>
          <w:rStyle w:val="current"/>
        </w:rPr>
        <w:t xml:space="preserve">In questa sezione tenteremo di contestualizzare </w:t>
      </w:r>
      <w:r w:rsidRPr="000F56E0">
        <w:rPr>
          <w:rStyle w:val="current"/>
        </w:rPr>
        <w:t>l’analisi sul rischio di evasione fiscale</w:t>
      </w:r>
      <w:r>
        <w:rPr>
          <w:rStyle w:val="current"/>
        </w:rPr>
        <w:t xml:space="preserve"> entro il quadro socio-economico e alla luce delle dinamiche di bilancio degli enti territoriali della bergamasca. Ciò allo scopo di </w:t>
      </w:r>
      <w:r w:rsidRPr="000F56E0">
        <w:rPr>
          <w:rStyle w:val="current"/>
        </w:rPr>
        <w:t xml:space="preserve">evidenziare </w:t>
      </w:r>
      <w:r>
        <w:rPr>
          <w:rStyle w:val="current"/>
        </w:rPr>
        <w:t xml:space="preserve">punti di forza e di criticità </w:t>
      </w:r>
      <w:r w:rsidRPr="000F56E0">
        <w:rPr>
          <w:rStyle w:val="current"/>
        </w:rPr>
        <w:t xml:space="preserve">del sistema e </w:t>
      </w:r>
      <w:r>
        <w:rPr>
          <w:rStyle w:val="current"/>
        </w:rPr>
        <w:t xml:space="preserve">di </w:t>
      </w:r>
      <w:r w:rsidRPr="000F56E0">
        <w:rPr>
          <w:rStyle w:val="current"/>
        </w:rPr>
        <w:t xml:space="preserve">fornire </w:t>
      </w:r>
      <w:r>
        <w:rPr>
          <w:rStyle w:val="current"/>
        </w:rPr>
        <w:t>indicazioni</w:t>
      </w:r>
      <w:r w:rsidRPr="000F56E0">
        <w:rPr>
          <w:rStyle w:val="current"/>
        </w:rPr>
        <w:t xml:space="preserve"> riguardo l’impiego delle eventuali risorse derivanti dal recupero dell’evasione fiscale.</w:t>
      </w:r>
    </w:p>
    <w:p w:rsidR="00D77B0E" w:rsidRPr="000F56E0" w:rsidRDefault="00D77B0E" w:rsidP="00D77B0E">
      <w:pPr>
        <w:spacing w:line="360" w:lineRule="auto"/>
        <w:jc w:val="both"/>
        <w:rPr>
          <w:rStyle w:val="current"/>
        </w:rPr>
      </w:pPr>
      <w:r w:rsidRPr="000F56E0">
        <w:rPr>
          <w:rStyle w:val="current"/>
        </w:rPr>
        <w:t>Il disagio e il peggioramento delle condizioni sociali di una quota significativa della popolazione, come conseguenza diretta o indiretta della crisi, sono empiricamente rintracciabili nella consistenza e nell’evoluzione temporale di un ampia gamma di indicatori sociali.</w:t>
      </w:r>
    </w:p>
    <w:p w:rsidR="00D77B0E" w:rsidRPr="000F56E0" w:rsidRDefault="00D77B0E" w:rsidP="00D77B0E">
      <w:pPr>
        <w:spacing w:line="360" w:lineRule="auto"/>
        <w:jc w:val="both"/>
        <w:rPr>
          <w:rFonts w:eastAsiaTheme="minorHAnsi"/>
          <w:lang w:eastAsia="en-US"/>
        </w:rPr>
      </w:pPr>
      <w:r w:rsidRPr="000F56E0">
        <w:rPr>
          <w:rStyle w:val="current"/>
        </w:rPr>
        <w:t>Le problematiche economico-sociali legate al territorio della provincia di</w:t>
      </w:r>
      <w:r>
        <w:rPr>
          <w:rStyle w:val="current"/>
        </w:rPr>
        <w:t xml:space="preserve"> Bergamo</w:t>
      </w:r>
      <w:r w:rsidRPr="000F56E0">
        <w:rPr>
          <w:rStyle w:val="current"/>
        </w:rPr>
        <w:t>, quindi, sono state tracciate sulla base dell’analisi di due distinte aree tematiche: il “Potere di acquisto, il risparmio ed il reddito delle famiglie” e l’</w:t>
      </w:r>
      <w:r w:rsidRPr="000F56E0">
        <w:rPr>
          <w:rFonts w:eastAsiaTheme="minorHAnsi"/>
          <w:lang w:eastAsia="en-US"/>
        </w:rPr>
        <w:t>“Inclusione sociale”.</w:t>
      </w:r>
    </w:p>
    <w:p w:rsidR="00D77B0E" w:rsidRPr="000F56E0" w:rsidRDefault="00D77B0E" w:rsidP="00D77B0E">
      <w:pPr>
        <w:spacing w:line="360" w:lineRule="auto"/>
        <w:jc w:val="both"/>
      </w:pPr>
      <w:r w:rsidRPr="000F56E0">
        <w:t>Congiuntamente l’analisi ha preso in considerazione anche i bilanci di previsione dei Comuni per il periodo 2009 – 2012. Se infatti da un lato il livello delle aliquote legali applicate al prelievo fiscale, così come la struttura tributaria</w:t>
      </w:r>
      <w:r>
        <w:t xml:space="preserve"> (</w:t>
      </w:r>
      <w:r w:rsidRPr="000F56E0">
        <w:t xml:space="preserve">intesa anche come </w:t>
      </w:r>
      <w:r>
        <w:t>indicatore</w:t>
      </w:r>
      <w:r w:rsidRPr="000F56E0">
        <w:t xml:space="preserve"> di progressività</w:t>
      </w:r>
      <w:r>
        <w:t xml:space="preserve"> fiscale)</w:t>
      </w:r>
      <w:r w:rsidRPr="000F56E0">
        <w:t>, vengono spesso individuate nella letteratura specifica come cause legate all’evasione, è pur vero che la capacità di recupero dell’evasione stessa e le maggiori risorse a disposizione degli enti potrebbero, o meglio dovrebbero, garantire una minore pressione fiscale e contributiva oltre che consentire una più facile applicazione</w:t>
      </w:r>
      <w:r>
        <w:t xml:space="preserve"> </w:t>
      </w:r>
      <w:r w:rsidRPr="000F56E0">
        <w:t>dei criteri di progressività.</w:t>
      </w:r>
    </w:p>
    <w:p w:rsidR="00D77B0E" w:rsidRPr="000F56E0" w:rsidRDefault="00D77B0E" w:rsidP="00D77B0E">
      <w:pPr>
        <w:spacing w:line="360" w:lineRule="auto"/>
        <w:jc w:val="both"/>
      </w:pPr>
      <w:r w:rsidRPr="000F56E0">
        <w:t xml:space="preserve">Le conseguenze legate all’evasione, infatti, sono comprensibilmente un pesante </w:t>
      </w:r>
      <w:r>
        <w:t>onere</w:t>
      </w:r>
      <w:r w:rsidRPr="000F56E0">
        <w:t xml:space="preserve"> in termini di perdita di gettito erariale/contributivo, concretizzandosi quindi in una più limitata disponibilità di risorse da destinare alla spesa pubblica </w:t>
      </w:r>
      <w:r>
        <w:t xml:space="preserve">nonché </w:t>
      </w:r>
      <w:r w:rsidRPr="000F56E0">
        <w:t xml:space="preserve">in maggiori difficoltà, </w:t>
      </w:r>
      <w:r>
        <w:t xml:space="preserve">per </w:t>
      </w:r>
      <w:r w:rsidRPr="000F56E0">
        <w:t>i Comuni, nel</w:t>
      </w:r>
      <w:r>
        <w:t xml:space="preserve"> tentativo di rispettare </w:t>
      </w:r>
      <w:r w:rsidRPr="000F56E0">
        <w:t xml:space="preserve">i vincoli di bilancio. Per ciò che concerne la spesa pubblica, inoltre, sono gli elementi qualitativi a subire le principali conseguenze negative della base imponibile “sommersa” con particolare riferimento alla </w:t>
      </w:r>
      <w:r>
        <w:t xml:space="preserve">risorse stanziate per gli investimenti e alla </w:t>
      </w:r>
      <w:r w:rsidRPr="000F56E0">
        <w:t xml:space="preserve">spesa per </w:t>
      </w:r>
      <w:r>
        <w:t>i servizi sociali in senso stretto e,</w:t>
      </w:r>
      <w:r w:rsidRPr="000F56E0">
        <w:t xml:space="preserve"> più in generale</w:t>
      </w:r>
      <w:r>
        <w:t>,</w:t>
      </w:r>
      <w:r w:rsidRPr="000F56E0">
        <w:t xml:space="preserve"> </w:t>
      </w:r>
      <w:r>
        <w:t xml:space="preserve">destinata al </w:t>
      </w:r>
      <w:r w:rsidRPr="000F56E0">
        <w:t xml:space="preserve">welfare </w:t>
      </w:r>
      <w:r>
        <w:t xml:space="preserve">“allargato”, </w:t>
      </w:r>
      <w:r w:rsidRPr="000F56E0">
        <w:t>comprensivo di spesa per la cultura, istruzione, sport e tempo libero.</w:t>
      </w:r>
    </w:p>
    <w:p w:rsidR="00D77B0E" w:rsidRPr="000F56E0" w:rsidRDefault="00D77B0E" w:rsidP="00D77B0E">
      <w:pPr>
        <w:spacing w:line="360" w:lineRule="auto"/>
        <w:jc w:val="both"/>
      </w:pPr>
      <w:r>
        <w:t>Inoltre</w:t>
      </w:r>
      <w:r w:rsidRPr="000F56E0">
        <w:t xml:space="preserve"> la perdita di gettito, preso atto che il rischio di evasione sia innanzitutto legato ad alcune specifiche categorie di contribuente, genera inevitabilmente problematiche equitative all’atto del prelievo fiscale, contrastando quindi gli obiettivi di redistribuzione, sia orizzontali che verticali, assegnati in origine al prelievo stesso.</w:t>
      </w:r>
    </w:p>
    <w:p w:rsidR="00D77B0E" w:rsidRDefault="00D77B0E" w:rsidP="00D77B0E">
      <w:pPr>
        <w:spacing w:line="360" w:lineRule="auto"/>
        <w:jc w:val="both"/>
      </w:pPr>
    </w:p>
    <w:p w:rsidR="00D77B0E" w:rsidRPr="000F56E0" w:rsidRDefault="00D77B0E" w:rsidP="00D77B0E">
      <w:pPr>
        <w:spacing w:line="360" w:lineRule="auto"/>
        <w:jc w:val="both"/>
      </w:pPr>
    </w:p>
    <w:p w:rsidR="00D77B0E" w:rsidRPr="0090305A" w:rsidRDefault="00D77B0E" w:rsidP="00D77B0E">
      <w:pPr>
        <w:pStyle w:val="Corpodeltesto"/>
        <w:rPr>
          <w:rFonts w:ascii="Times New Roman" w:hAnsi="Times New Roman"/>
          <w:b/>
        </w:rPr>
      </w:pPr>
      <w:r w:rsidRPr="0090305A">
        <w:rPr>
          <w:rFonts w:ascii="Times New Roman" w:hAnsi="Times New Roman"/>
          <w:b/>
        </w:rPr>
        <w:t>Trasformazioni sociali e indicatori sulla crisi economica</w:t>
      </w:r>
    </w:p>
    <w:p w:rsidR="00D77B0E" w:rsidRDefault="00D77B0E" w:rsidP="00D77B0E">
      <w:pPr>
        <w:pStyle w:val="Corpodeltesto"/>
        <w:rPr>
          <w:rFonts w:ascii="Times New Roman" w:hAnsi="Times New Roman"/>
        </w:rPr>
      </w:pPr>
      <w:r w:rsidRPr="000F56E0">
        <w:rPr>
          <w:rFonts w:ascii="Times New Roman" w:hAnsi="Times New Roman"/>
        </w:rPr>
        <w:t xml:space="preserve">I processi di coesione sociale che storicamente hanno caratterizzato il territorio della provincia di </w:t>
      </w:r>
      <w:r>
        <w:rPr>
          <w:rFonts w:ascii="Times New Roman" w:hAnsi="Times New Roman"/>
        </w:rPr>
        <w:t>Bergamo</w:t>
      </w:r>
      <w:r w:rsidRPr="000F56E0">
        <w:rPr>
          <w:rFonts w:ascii="Times New Roman" w:hAnsi="Times New Roman"/>
        </w:rPr>
        <w:t xml:space="preserve">, fondati in primo luogo su un basso tasso di disoccupazione, mostrano oggi forti segnali di debolezza.  </w:t>
      </w:r>
    </w:p>
    <w:p w:rsidR="00D77B0E" w:rsidRDefault="00D77B0E" w:rsidP="00D77B0E">
      <w:pPr>
        <w:spacing w:line="360" w:lineRule="auto"/>
        <w:jc w:val="both"/>
      </w:pPr>
      <w:r w:rsidRPr="000F56E0">
        <w:t xml:space="preserve">La provincia di </w:t>
      </w:r>
      <w:r>
        <w:t>Bergamo</w:t>
      </w:r>
      <w:r w:rsidRPr="000F56E0">
        <w:t xml:space="preserve"> è interessata da profonde trasformazioni socio-demografiche, i cui effetti negli ultimi 3 anni sono stati amplificati e in parte “distorti” dalle rilevanti dimensioni assunte in que</w:t>
      </w:r>
      <w:r>
        <w:t>sto territorio dalla crisi econo</w:t>
      </w:r>
      <w:r w:rsidRPr="000F56E0">
        <w:t>mica internazionale</w:t>
      </w:r>
      <w:r>
        <w:t xml:space="preserve"> e dalle crescenti difficoltà degli enti territoriali di far fronte al fabbisogno di politiche sociali e socio-sanitarie e per lo sviluppo</w:t>
      </w:r>
      <w:r w:rsidRPr="000F56E0">
        <w:t>.</w:t>
      </w:r>
    </w:p>
    <w:p w:rsidR="00D77B0E" w:rsidRDefault="00D77B0E" w:rsidP="00D77B0E">
      <w:pPr>
        <w:spacing w:line="360" w:lineRule="auto"/>
        <w:jc w:val="both"/>
      </w:pPr>
      <w:r>
        <w:t>Le tendenze demografiche in atto mostrano alcune significative atipicità territoriali al confronto con le altre province lombarde. In primo luogo si osserva un più contenuto trend d’</w:t>
      </w:r>
      <w:r w:rsidRPr="000F56E0">
        <w:t xml:space="preserve">invecchiamento della popolazione </w:t>
      </w:r>
      <w:r>
        <w:t>(in particolare si segnala, al 31 dicembre 2011, la più bassa incidenza della quota di popolazione ultrasettantacinquenne nella provincia di Bergamo, pari all’8,3% a fronte del 9,7% rilevato come parametro regionale)</w:t>
      </w:r>
      <w:r w:rsidRPr="000F56E0">
        <w:t xml:space="preserve">, </w:t>
      </w:r>
      <w:r>
        <w:t xml:space="preserve">cui </w:t>
      </w:r>
      <w:r w:rsidRPr="000F56E0">
        <w:t xml:space="preserve">si accompagna ormai da anni la forte crescita dell’immigrazione </w:t>
      </w:r>
      <w:r>
        <w:t xml:space="preserve">(la popolazione straniera residente è cresciuta nel 2003/2011 da 37.836 a 120.668 unità), con una </w:t>
      </w:r>
      <w:r w:rsidRPr="007C5BF4">
        <w:t xml:space="preserve">crescita del tasso di immigrazione della popolazione di ben 6 punti percentuali, dal 3,8% a circa l’11% </w:t>
      </w:r>
      <w:r>
        <w:t xml:space="preserve"> </w:t>
      </w:r>
      <w:r w:rsidRPr="007C5BF4">
        <w:t>(il dato rilevato dal censimento dell’ottobre 2011 segnala invece il 10,3% di stranieri residenti nel</w:t>
      </w:r>
      <w:r>
        <w:t xml:space="preserve"> territorio provinciale</w:t>
      </w:r>
      <w:r w:rsidRPr="007C5BF4">
        <w:t xml:space="preserve">). </w:t>
      </w:r>
    </w:p>
    <w:p w:rsidR="00D77B0E" w:rsidRDefault="00D77B0E" w:rsidP="00D77B0E">
      <w:pPr>
        <w:spacing w:line="360" w:lineRule="auto"/>
        <w:jc w:val="both"/>
      </w:pPr>
      <w:r w:rsidRPr="007C5BF4">
        <w:t xml:space="preserve">Inoltre la struttura della popolazione della provincia di Bergamo si segnala come tra le la più giovani a livello lombardo, con un tasso di dipendenza strutturale dei giovani (che esprime il </w:t>
      </w:r>
      <w:r w:rsidRPr="00C14C35">
        <w:rPr>
          <w:color w:val="000000"/>
        </w:rPr>
        <w:t xml:space="preserve">rapporto tra </w:t>
      </w:r>
      <w:r w:rsidRPr="007C5BF4">
        <w:rPr>
          <w:color w:val="000000"/>
        </w:rPr>
        <w:t xml:space="preserve">la </w:t>
      </w:r>
      <w:r w:rsidRPr="00C14C35">
        <w:rPr>
          <w:color w:val="000000"/>
        </w:rPr>
        <w:t xml:space="preserve">popolazione </w:t>
      </w:r>
      <w:r w:rsidRPr="007C5BF4">
        <w:rPr>
          <w:color w:val="000000"/>
        </w:rPr>
        <w:t xml:space="preserve">tra </w:t>
      </w:r>
      <w:r w:rsidRPr="00C14C35">
        <w:rPr>
          <w:color w:val="000000"/>
        </w:rPr>
        <w:t xml:space="preserve">0-14 anni e </w:t>
      </w:r>
      <w:r w:rsidRPr="007C5BF4">
        <w:rPr>
          <w:color w:val="000000"/>
        </w:rPr>
        <w:t xml:space="preserve">la </w:t>
      </w:r>
      <w:r w:rsidRPr="00C14C35">
        <w:rPr>
          <w:color w:val="000000"/>
        </w:rPr>
        <w:t xml:space="preserve">popolazione in età attiva </w:t>
      </w:r>
      <w:r w:rsidRPr="007C5BF4">
        <w:rPr>
          <w:color w:val="000000"/>
        </w:rPr>
        <w:t xml:space="preserve">tra 15 e 64 anni, </w:t>
      </w:r>
      <w:r w:rsidRPr="00C14C35">
        <w:rPr>
          <w:color w:val="000000"/>
        </w:rPr>
        <w:t>moltiplicato per 100</w:t>
      </w:r>
      <w:r w:rsidRPr="007C5BF4">
        <w:rPr>
          <w:color w:val="000000"/>
        </w:rPr>
        <w:t>)</w:t>
      </w:r>
      <w:r w:rsidRPr="007C5BF4">
        <w:t xml:space="preserve"> pari al 23,6 a fronte del 22 lombardo e del 21,5 nazionale.</w:t>
      </w:r>
      <w:r>
        <w:t xml:space="preserve"> </w:t>
      </w:r>
    </w:p>
    <w:p w:rsidR="00D77B0E" w:rsidRDefault="00D77B0E" w:rsidP="00D77B0E">
      <w:pPr>
        <w:pStyle w:val="ecxmsonormal"/>
        <w:spacing w:before="0" w:beforeAutospacing="0" w:after="0" w:afterAutospacing="0"/>
        <w:jc w:val="both"/>
        <w:rPr>
          <w:rFonts w:ascii="Garamond" w:hAnsi="Garamond"/>
          <w:b/>
          <w:sz w:val="20"/>
          <w:szCs w:val="20"/>
        </w:rPr>
      </w:pPr>
    </w:p>
    <w:p w:rsidR="00D77B0E" w:rsidRDefault="00D77B0E" w:rsidP="00D77B0E">
      <w:pPr>
        <w:pStyle w:val="ecxmsonormal"/>
        <w:spacing w:before="0" w:beforeAutospacing="0" w:after="0" w:afterAutospacing="0"/>
        <w:jc w:val="both"/>
        <w:rPr>
          <w:rFonts w:ascii="Garamond" w:hAnsi="Garamond"/>
          <w:b/>
          <w:sz w:val="20"/>
          <w:szCs w:val="20"/>
        </w:rPr>
      </w:pPr>
    </w:p>
    <w:p w:rsidR="00D77B0E" w:rsidRPr="00AC5C19" w:rsidRDefault="00D77B0E" w:rsidP="00D77B0E">
      <w:pPr>
        <w:pStyle w:val="ecxmsonormal"/>
        <w:spacing w:before="0" w:beforeAutospacing="0" w:after="0" w:afterAutospacing="0"/>
        <w:jc w:val="both"/>
        <w:rPr>
          <w:rFonts w:ascii="Garamond" w:hAnsi="Garamond"/>
          <w:b/>
          <w:sz w:val="20"/>
          <w:szCs w:val="20"/>
        </w:rPr>
      </w:pPr>
      <w:r w:rsidRPr="00AC5C19">
        <w:rPr>
          <w:rFonts w:ascii="Garamond" w:hAnsi="Garamond"/>
          <w:b/>
          <w:sz w:val="20"/>
          <w:szCs w:val="20"/>
        </w:rPr>
        <w:t>Incidenza popolazione ultra75enne sul totale della popolazione residente. Serie storica 2003/2011</w:t>
      </w:r>
    </w:p>
    <w:tbl>
      <w:tblPr>
        <w:tblW w:w="5000" w:type="pct"/>
        <w:tblCellMar>
          <w:left w:w="70" w:type="dxa"/>
          <w:right w:w="70" w:type="dxa"/>
        </w:tblCellMar>
        <w:tblLook w:val="04A0"/>
      </w:tblPr>
      <w:tblGrid>
        <w:gridCol w:w="1124"/>
        <w:gridCol w:w="962"/>
        <w:gridCol w:w="962"/>
        <w:gridCol w:w="962"/>
        <w:gridCol w:w="962"/>
        <w:gridCol w:w="962"/>
        <w:gridCol w:w="962"/>
        <w:gridCol w:w="962"/>
        <w:gridCol w:w="962"/>
        <w:gridCol w:w="958"/>
      </w:tblGrid>
      <w:tr w:rsidR="00D77B0E" w:rsidRPr="007D7A1F" w:rsidTr="00D73F13">
        <w:trPr>
          <w:trHeight w:val="240"/>
        </w:trPr>
        <w:tc>
          <w:tcPr>
            <w:tcW w:w="574"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rPr>
                <w:rFonts w:ascii="Garamond" w:hAnsi="Garamond" w:cs="Calibri"/>
                <w:color w:val="000000"/>
                <w:sz w:val="18"/>
                <w:szCs w:val="18"/>
              </w:rPr>
            </w:pPr>
            <w:r w:rsidRPr="007D7A1F">
              <w:rPr>
                <w:rFonts w:ascii="Garamond" w:hAnsi="Garamond" w:cs="Calibri"/>
                <w:color w:val="000000"/>
                <w:sz w:val="18"/>
                <w:szCs w:val="18"/>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2011</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2010</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2009</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2008</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2007</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2006</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2005</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2004</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2003</w:t>
            </w:r>
          </w:p>
        </w:tc>
      </w:tr>
      <w:tr w:rsidR="00D77B0E" w:rsidRPr="00AF57D0" w:rsidTr="00D73F13">
        <w:trPr>
          <w:trHeight w:val="240"/>
        </w:trPr>
        <w:tc>
          <w:tcPr>
            <w:tcW w:w="574" w:type="pct"/>
            <w:tcBorders>
              <w:top w:val="nil"/>
              <w:left w:val="nil"/>
              <w:bottom w:val="nil"/>
              <w:right w:val="nil"/>
            </w:tcBorders>
            <w:shd w:val="clear" w:color="auto" w:fill="auto"/>
            <w:vAlign w:val="center"/>
            <w:hideMark/>
          </w:tcPr>
          <w:p w:rsidR="00D77B0E" w:rsidRPr="00AF57D0" w:rsidRDefault="00D77B0E" w:rsidP="00D73F13">
            <w:pPr>
              <w:rPr>
                <w:rFonts w:ascii="Garamond" w:hAnsi="Garamond" w:cs="Calibri"/>
                <w:b/>
                <w:sz w:val="18"/>
                <w:szCs w:val="18"/>
              </w:rPr>
            </w:pPr>
            <w:r w:rsidRPr="00AF57D0">
              <w:rPr>
                <w:rFonts w:ascii="Garamond" w:hAnsi="Garamond" w:cs="Calibri"/>
                <w:b/>
                <w:sz w:val="18"/>
                <w:szCs w:val="18"/>
              </w:rPr>
              <w:t>Bergamo</w:t>
            </w:r>
          </w:p>
        </w:tc>
        <w:tc>
          <w:tcPr>
            <w:tcW w:w="492" w:type="pct"/>
            <w:tcBorders>
              <w:top w:val="nil"/>
              <w:left w:val="nil"/>
              <w:bottom w:val="nil"/>
              <w:right w:val="nil"/>
            </w:tcBorders>
            <w:shd w:val="clear" w:color="auto" w:fill="auto"/>
            <w:noWrap/>
            <w:vAlign w:val="bottom"/>
            <w:hideMark/>
          </w:tcPr>
          <w:p w:rsidR="00D77B0E" w:rsidRPr="00AF57D0" w:rsidRDefault="00D77B0E" w:rsidP="00D73F13">
            <w:pPr>
              <w:jc w:val="center"/>
              <w:rPr>
                <w:rFonts w:ascii="Garamond" w:hAnsi="Garamond" w:cs="Calibri"/>
                <w:b/>
                <w:color w:val="000000"/>
                <w:sz w:val="18"/>
                <w:szCs w:val="18"/>
              </w:rPr>
            </w:pPr>
            <w:r w:rsidRPr="00AF57D0">
              <w:rPr>
                <w:rFonts w:ascii="Garamond" w:hAnsi="Garamond" w:cs="Calibri"/>
                <w:b/>
                <w:color w:val="000000"/>
                <w:sz w:val="18"/>
                <w:szCs w:val="18"/>
              </w:rPr>
              <w:t>8,3</w:t>
            </w:r>
          </w:p>
        </w:tc>
        <w:tc>
          <w:tcPr>
            <w:tcW w:w="492" w:type="pct"/>
            <w:tcBorders>
              <w:top w:val="nil"/>
              <w:left w:val="nil"/>
              <w:bottom w:val="nil"/>
              <w:right w:val="nil"/>
            </w:tcBorders>
            <w:shd w:val="clear" w:color="auto" w:fill="auto"/>
            <w:noWrap/>
            <w:vAlign w:val="bottom"/>
            <w:hideMark/>
          </w:tcPr>
          <w:p w:rsidR="00D77B0E" w:rsidRPr="00AF57D0" w:rsidRDefault="00D77B0E" w:rsidP="00D73F13">
            <w:pPr>
              <w:jc w:val="center"/>
              <w:rPr>
                <w:rFonts w:ascii="Garamond" w:hAnsi="Garamond" w:cs="Calibri"/>
                <w:b/>
                <w:color w:val="000000"/>
                <w:sz w:val="18"/>
                <w:szCs w:val="18"/>
              </w:rPr>
            </w:pPr>
            <w:r w:rsidRPr="00AF57D0">
              <w:rPr>
                <w:rFonts w:ascii="Garamond" w:hAnsi="Garamond" w:cs="Calibri"/>
                <w:b/>
                <w:color w:val="000000"/>
                <w:sz w:val="18"/>
                <w:szCs w:val="18"/>
              </w:rPr>
              <w:t>8,1</w:t>
            </w:r>
          </w:p>
        </w:tc>
        <w:tc>
          <w:tcPr>
            <w:tcW w:w="492" w:type="pct"/>
            <w:tcBorders>
              <w:top w:val="nil"/>
              <w:left w:val="nil"/>
              <w:bottom w:val="nil"/>
              <w:right w:val="nil"/>
            </w:tcBorders>
            <w:shd w:val="clear" w:color="auto" w:fill="auto"/>
            <w:noWrap/>
            <w:vAlign w:val="bottom"/>
            <w:hideMark/>
          </w:tcPr>
          <w:p w:rsidR="00D77B0E" w:rsidRPr="00AF57D0" w:rsidRDefault="00D77B0E" w:rsidP="00D73F13">
            <w:pPr>
              <w:jc w:val="center"/>
              <w:rPr>
                <w:rFonts w:ascii="Garamond" w:hAnsi="Garamond" w:cs="Calibri"/>
                <w:b/>
                <w:color w:val="000000"/>
                <w:sz w:val="18"/>
                <w:szCs w:val="18"/>
              </w:rPr>
            </w:pPr>
            <w:r w:rsidRPr="00AF57D0">
              <w:rPr>
                <w:rFonts w:ascii="Garamond" w:hAnsi="Garamond" w:cs="Calibri"/>
                <w:b/>
                <w:color w:val="000000"/>
                <w:sz w:val="18"/>
                <w:szCs w:val="18"/>
              </w:rPr>
              <w:t>7,9</w:t>
            </w:r>
          </w:p>
        </w:tc>
        <w:tc>
          <w:tcPr>
            <w:tcW w:w="492" w:type="pct"/>
            <w:tcBorders>
              <w:top w:val="nil"/>
              <w:left w:val="nil"/>
              <w:bottom w:val="nil"/>
              <w:right w:val="nil"/>
            </w:tcBorders>
            <w:shd w:val="clear" w:color="auto" w:fill="auto"/>
            <w:noWrap/>
            <w:vAlign w:val="bottom"/>
            <w:hideMark/>
          </w:tcPr>
          <w:p w:rsidR="00D77B0E" w:rsidRPr="00AF57D0" w:rsidRDefault="00D77B0E" w:rsidP="00D73F13">
            <w:pPr>
              <w:jc w:val="center"/>
              <w:rPr>
                <w:rFonts w:ascii="Garamond" w:hAnsi="Garamond" w:cs="Calibri"/>
                <w:b/>
                <w:color w:val="000000"/>
                <w:sz w:val="18"/>
                <w:szCs w:val="18"/>
              </w:rPr>
            </w:pPr>
            <w:r w:rsidRPr="00AF57D0">
              <w:rPr>
                <w:rFonts w:ascii="Garamond" w:hAnsi="Garamond" w:cs="Calibri"/>
                <w:b/>
                <w:color w:val="000000"/>
                <w:sz w:val="18"/>
                <w:szCs w:val="18"/>
              </w:rPr>
              <w:t>7,8</w:t>
            </w:r>
          </w:p>
        </w:tc>
        <w:tc>
          <w:tcPr>
            <w:tcW w:w="492" w:type="pct"/>
            <w:tcBorders>
              <w:top w:val="nil"/>
              <w:left w:val="nil"/>
              <w:bottom w:val="nil"/>
              <w:right w:val="nil"/>
            </w:tcBorders>
            <w:shd w:val="clear" w:color="auto" w:fill="auto"/>
            <w:noWrap/>
            <w:vAlign w:val="bottom"/>
            <w:hideMark/>
          </w:tcPr>
          <w:p w:rsidR="00D77B0E" w:rsidRPr="00AF57D0" w:rsidRDefault="00D77B0E" w:rsidP="00D73F13">
            <w:pPr>
              <w:jc w:val="center"/>
              <w:rPr>
                <w:rFonts w:ascii="Garamond" w:hAnsi="Garamond" w:cs="Calibri"/>
                <w:b/>
                <w:color w:val="000000"/>
                <w:sz w:val="18"/>
                <w:szCs w:val="18"/>
              </w:rPr>
            </w:pPr>
            <w:r w:rsidRPr="00AF57D0">
              <w:rPr>
                <w:rFonts w:ascii="Garamond" w:hAnsi="Garamond" w:cs="Calibri"/>
                <w:b/>
                <w:color w:val="000000"/>
                <w:sz w:val="18"/>
                <w:szCs w:val="18"/>
              </w:rPr>
              <w:t>7,6</w:t>
            </w:r>
          </w:p>
        </w:tc>
        <w:tc>
          <w:tcPr>
            <w:tcW w:w="492" w:type="pct"/>
            <w:tcBorders>
              <w:top w:val="nil"/>
              <w:left w:val="nil"/>
              <w:bottom w:val="nil"/>
              <w:right w:val="nil"/>
            </w:tcBorders>
            <w:shd w:val="clear" w:color="auto" w:fill="auto"/>
            <w:noWrap/>
            <w:vAlign w:val="bottom"/>
            <w:hideMark/>
          </w:tcPr>
          <w:p w:rsidR="00D77B0E" w:rsidRPr="00AF57D0" w:rsidRDefault="00D77B0E" w:rsidP="00D73F13">
            <w:pPr>
              <w:jc w:val="center"/>
              <w:rPr>
                <w:rFonts w:ascii="Garamond" w:hAnsi="Garamond" w:cs="Calibri"/>
                <w:b/>
                <w:color w:val="000000"/>
                <w:sz w:val="18"/>
                <w:szCs w:val="18"/>
              </w:rPr>
            </w:pPr>
            <w:r w:rsidRPr="00AF57D0">
              <w:rPr>
                <w:rFonts w:ascii="Garamond" w:hAnsi="Garamond" w:cs="Calibri"/>
                <w:b/>
                <w:color w:val="000000"/>
                <w:sz w:val="18"/>
                <w:szCs w:val="18"/>
              </w:rPr>
              <w:t>7,4</w:t>
            </w:r>
          </w:p>
        </w:tc>
        <w:tc>
          <w:tcPr>
            <w:tcW w:w="492" w:type="pct"/>
            <w:tcBorders>
              <w:top w:val="nil"/>
              <w:left w:val="nil"/>
              <w:bottom w:val="nil"/>
              <w:right w:val="nil"/>
            </w:tcBorders>
            <w:shd w:val="clear" w:color="auto" w:fill="auto"/>
            <w:noWrap/>
            <w:vAlign w:val="bottom"/>
            <w:hideMark/>
          </w:tcPr>
          <w:p w:rsidR="00D77B0E" w:rsidRPr="00AF57D0" w:rsidRDefault="00D77B0E" w:rsidP="00D73F13">
            <w:pPr>
              <w:jc w:val="center"/>
              <w:rPr>
                <w:rFonts w:ascii="Garamond" w:hAnsi="Garamond" w:cs="Calibri"/>
                <w:b/>
                <w:color w:val="000000"/>
                <w:sz w:val="18"/>
                <w:szCs w:val="18"/>
              </w:rPr>
            </w:pPr>
            <w:r w:rsidRPr="00AF57D0">
              <w:rPr>
                <w:rFonts w:ascii="Garamond" w:hAnsi="Garamond" w:cs="Calibri"/>
                <w:b/>
                <w:color w:val="000000"/>
                <w:sz w:val="18"/>
                <w:szCs w:val="18"/>
              </w:rPr>
              <w:t>7,2</w:t>
            </w:r>
          </w:p>
        </w:tc>
        <w:tc>
          <w:tcPr>
            <w:tcW w:w="492" w:type="pct"/>
            <w:tcBorders>
              <w:top w:val="nil"/>
              <w:left w:val="nil"/>
              <w:bottom w:val="nil"/>
              <w:right w:val="nil"/>
            </w:tcBorders>
            <w:shd w:val="clear" w:color="auto" w:fill="auto"/>
            <w:noWrap/>
            <w:vAlign w:val="bottom"/>
            <w:hideMark/>
          </w:tcPr>
          <w:p w:rsidR="00D77B0E" w:rsidRPr="00AF57D0" w:rsidRDefault="00D77B0E" w:rsidP="00D73F13">
            <w:pPr>
              <w:jc w:val="center"/>
              <w:rPr>
                <w:rFonts w:ascii="Garamond" w:hAnsi="Garamond" w:cs="Calibri"/>
                <w:b/>
                <w:color w:val="000000"/>
                <w:sz w:val="18"/>
                <w:szCs w:val="18"/>
              </w:rPr>
            </w:pPr>
            <w:r w:rsidRPr="00AF57D0">
              <w:rPr>
                <w:rFonts w:ascii="Garamond" w:hAnsi="Garamond" w:cs="Calibri"/>
                <w:b/>
                <w:color w:val="000000"/>
                <w:sz w:val="18"/>
                <w:szCs w:val="18"/>
              </w:rPr>
              <w:t>7,0</w:t>
            </w:r>
          </w:p>
        </w:tc>
        <w:tc>
          <w:tcPr>
            <w:tcW w:w="492" w:type="pct"/>
            <w:tcBorders>
              <w:top w:val="nil"/>
              <w:left w:val="nil"/>
              <w:bottom w:val="nil"/>
              <w:right w:val="nil"/>
            </w:tcBorders>
            <w:shd w:val="clear" w:color="auto" w:fill="auto"/>
            <w:noWrap/>
            <w:vAlign w:val="bottom"/>
            <w:hideMark/>
          </w:tcPr>
          <w:p w:rsidR="00D77B0E" w:rsidRPr="00AF57D0" w:rsidRDefault="00D77B0E" w:rsidP="00D73F13">
            <w:pPr>
              <w:jc w:val="center"/>
              <w:rPr>
                <w:rFonts w:ascii="Garamond" w:hAnsi="Garamond" w:cs="Calibri"/>
                <w:b/>
                <w:color w:val="000000"/>
                <w:sz w:val="18"/>
                <w:szCs w:val="18"/>
              </w:rPr>
            </w:pPr>
            <w:r w:rsidRPr="00AF57D0">
              <w:rPr>
                <w:rFonts w:ascii="Garamond" w:hAnsi="Garamond" w:cs="Calibri"/>
                <w:b/>
                <w:color w:val="000000"/>
                <w:sz w:val="18"/>
                <w:szCs w:val="18"/>
              </w:rPr>
              <w:t>6,9</w:t>
            </w:r>
          </w:p>
        </w:tc>
      </w:tr>
      <w:tr w:rsidR="00D77B0E" w:rsidRPr="007D7A1F" w:rsidTr="00D73F13">
        <w:trPr>
          <w:trHeight w:val="240"/>
        </w:trPr>
        <w:tc>
          <w:tcPr>
            <w:tcW w:w="574" w:type="pct"/>
            <w:tcBorders>
              <w:top w:val="nil"/>
              <w:left w:val="nil"/>
              <w:bottom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Brescia</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8,7</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8,5</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8,4</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8,2</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8,1</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7,8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7,7</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7,5</w:t>
            </w:r>
          </w:p>
        </w:tc>
      </w:tr>
      <w:tr w:rsidR="00D77B0E" w:rsidRPr="007D7A1F" w:rsidTr="00D73F13">
        <w:trPr>
          <w:trHeight w:val="240"/>
        </w:trPr>
        <w:tc>
          <w:tcPr>
            <w:tcW w:w="574" w:type="pct"/>
            <w:tcBorders>
              <w:top w:val="nil"/>
              <w:left w:val="nil"/>
              <w:bottom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Como</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9,6</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9,3</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9,2</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9,0</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8,6</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8,3</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8,1</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8,0</w:t>
            </w:r>
          </w:p>
        </w:tc>
      </w:tr>
      <w:tr w:rsidR="00D77B0E" w:rsidRPr="007D7A1F" w:rsidTr="00D73F13">
        <w:trPr>
          <w:trHeight w:val="240"/>
        </w:trPr>
        <w:tc>
          <w:tcPr>
            <w:tcW w:w="574" w:type="pct"/>
            <w:tcBorders>
              <w:top w:val="nil"/>
              <w:left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Cremona</w:t>
            </w:r>
          </w:p>
        </w:tc>
        <w:tc>
          <w:tcPr>
            <w:tcW w:w="492" w:type="pct"/>
            <w:tcBorders>
              <w:top w:val="nil"/>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10,8</w:t>
            </w:r>
          </w:p>
        </w:tc>
        <w:tc>
          <w:tcPr>
            <w:tcW w:w="492" w:type="pct"/>
            <w:tcBorders>
              <w:top w:val="nil"/>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10,6</w:t>
            </w:r>
          </w:p>
        </w:tc>
        <w:tc>
          <w:tcPr>
            <w:tcW w:w="492" w:type="pct"/>
            <w:tcBorders>
              <w:top w:val="nil"/>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10,5</w:t>
            </w:r>
          </w:p>
        </w:tc>
        <w:tc>
          <w:tcPr>
            <w:tcW w:w="492" w:type="pct"/>
            <w:tcBorders>
              <w:top w:val="nil"/>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10,4</w:t>
            </w:r>
          </w:p>
        </w:tc>
        <w:tc>
          <w:tcPr>
            <w:tcW w:w="492" w:type="pct"/>
            <w:tcBorders>
              <w:top w:val="nil"/>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10,3</w:t>
            </w:r>
          </w:p>
        </w:tc>
        <w:tc>
          <w:tcPr>
            <w:tcW w:w="492" w:type="pct"/>
            <w:tcBorders>
              <w:top w:val="nil"/>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10,1</w:t>
            </w:r>
          </w:p>
        </w:tc>
        <w:tc>
          <w:tcPr>
            <w:tcW w:w="492" w:type="pct"/>
            <w:tcBorders>
              <w:top w:val="nil"/>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9,8</w:t>
            </w:r>
          </w:p>
        </w:tc>
        <w:tc>
          <w:tcPr>
            <w:tcW w:w="492" w:type="pct"/>
            <w:tcBorders>
              <w:top w:val="nil"/>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9,7</w:t>
            </w:r>
          </w:p>
        </w:tc>
        <w:tc>
          <w:tcPr>
            <w:tcW w:w="492" w:type="pct"/>
            <w:tcBorders>
              <w:top w:val="nil"/>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9,5</w:t>
            </w:r>
          </w:p>
        </w:tc>
      </w:tr>
      <w:tr w:rsidR="00D77B0E" w:rsidRPr="007D7A1F" w:rsidTr="00D73F13">
        <w:trPr>
          <w:trHeight w:val="240"/>
        </w:trPr>
        <w:tc>
          <w:tcPr>
            <w:tcW w:w="574" w:type="pct"/>
            <w:tcBorders>
              <w:left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Lecco</w:t>
            </w:r>
          </w:p>
        </w:tc>
        <w:tc>
          <w:tcPr>
            <w:tcW w:w="492" w:type="pct"/>
            <w:tcBorders>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9,5</w:t>
            </w:r>
          </w:p>
        </w:tc>
        <w:tc>
          <w:tcPr>
            <w:tcW w:w="492" w:type="pct"/>
            <w:tcBorders>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9,3</w:t>
            </w:r>
          </w:p>
        </w:tc>
        <w:tc>
          <w:tcPr>
            <w:tcW w:w="492" w:type="pct"/>
            <w:tcBorders>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9,1</w:t>
            </w:r>
          </w:p>
        </w:tc>
        <w:tc>
          <w:tcPr>
            <w:tcW w:w="492" w:type="pct"/>
            <w:tcBorders>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9,0</w:t>
            </w:r>
          </w:p>
        </w:tc>
        <w:tc>
          <w:tcPr>
            <w:tcW w:w="492" w:type="pct"/>
            <w:tcBorders>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8,8</w:t>
            </w:r>
          </w:p>
        </w:tc>
        <w:tc>
          <w:tcPr>
            <w:tcW w:w="492" w:type="pct"/>
            <w:tcBorders>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8,5</w:t>
            </w:r>
          </w:p>
        </w:tc>
        <w:tc>
          <w:tcPr>
            <w:tcW w:w="492" w:type="pct"/>
            <w:tcBorders>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8,3</w:t>
            </w:r>
          </w:p>
        </w:tc>
        <w:tc>
          <w:tcPr>
            <w:tcW w:w="492" w:type="pct"/>
            <w:tcBorders>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8,1</w:t>
            </w:r>
          </w:p>
        </w:tc>
        <w:tc>
          <w:tcPr>
            <w:tcW w:w="492" w:type="pct"/>
            <w:tcBorders>
              <w:left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7,9</w:t>
            </w:r>
          </w:p>
        </w:tc>
      </w:tr>
      <w:tr w:rsidR="00D77B0E" w:rsidRPr="007D7A1F" w:rsidTr="00D73F13">
        <w:trPr>
          <w:trHeight w:val="240"/>
        </w:trPr>
        <w:tc>
          <w:tcPr>
            <w:tcW w:w="574" w:type="pct"/>
            <w:tcBorders>
              <w:left w:val="nil"/>
              <w:bottom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Lodi</w:t>
            </w:r>
          </w:p>
        </w:tc>
        <w:tc>
          <w:tcPr>
            <w:tcW w:w="492" w:type="pct"/>
            <w:tcBorders>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8,9</w:t>
            </w:r>
          </w:p>
        </w:tc>
        <w:tc>
          <w:tcPr>
            <w:tcW w:w="492" w:type="pct"/>
            <w:tcBorders>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8,7</w:t>
            </w:r>
          </w:p>
        </w:tc>
        <w:tc>
          <w:tcPr>
            <w:tcW w:w="492" w:type="pct"/>
            <w:tcBorders>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8,5</w:t>
            </w:r>
          </w:p>
        </w:tc>
        <w:tc>
          <w:tcPr>
            <w:tcW w:w="492" w:type="pct"/>
            <w:tcBorders>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8,5</w:t>
            </w:r>
          </w:p>
        </w:tc>
        <w:tc>
          <w:tcPr>
            <w:tcW w:w="492" w:type="pct"/>
            <w:tcBorders>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8,4</w:t>
            </w:r>
          </w:p>
        </w:tc>
        <w:tc>
          <w:tcPr>
            <w:tcW w:w="492" w:type="pct"/>
            <w:tcBorders>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8,3</w:t>
            </w:r>
          </w:p>
        </w:tc>
        <w:tc>
          <w:tcPr>
            <w:tcW w:w="492" w:type="pct"/>
            <w:tcBorders>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8,1</w:t>
            </w:r>
          </w:p>
        </w:tc>
        <w:tc>
          <w:tcPr>
            <w:tcW w:w="492" w:type="pct"/>
            <w:tcBorders>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7,9</w:t>
            </w:r>
          </w:p>
        </w:tc>
        <w:tc>
          <w:tcPr>
            <w:tcW w:w="492" w:type="pct"/>
            <w:tcBorders>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7,9</w:t>
            </w:r>
          </w:p>
        </w:tc>
      </w:tr>
      <w:tr w:rsidR="00D77B0E" w:rsidRPr="007D7A1F" w:rsidTr="00D73F13">
        <w:trPr>
          <w:trHeight w:val="240"/>
        </w:trPr>
        <w:tc>
          <w:tcPr>
            <w:tcW w:w="574" w:type="pct"/>
            <w:tcBorders>
              <w:top w:val="nil"/>
              <w:left w:val="nil"/>
              <w:bottom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Mantova</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11,1</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10,9</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10,6</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10,5</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10,4</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10,3</w:t>
            </w:r>
          </w:p>
        </w:tc>
      </w:tr>
      <w:tr w:rsidR="00D77B0E" w:rsidRPr="007D7A1F" w:rsidTr="00D73F13">
        <w:trPr>
          <w:trHeight w:val="240"/>
        </w:trPr>
        <w:tc>
          <w:tcPr>
            <w:tcW w:w="574" w:type="pct"/>
            <w:tcBorders>
              <w:top w:val="nil"/>
              <w:left w:val="nil"/>
              <w:bottom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Milano (*)</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7,7</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9,3</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9,1</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8,5</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8,3</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8,1</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8,0</w:t>
            </w:r>
          </w:p>
        </w:tc>
      </w:tr>
      <w:tr w:rsidR="00D77B0E" w:rsidRPr="007D7A1F" w:rsidTr="00D73F13">
        <w:trPr>
          <w:trHeight w:val="240"/>
        </w:trPr>
        <w:tc>
          <w:tcPr>
            <w:tcW w:w="574" w:type="pct"/>
            <w:tcBorders>
              <w:top w:val="nil"/>
              <w:left w:val="nil"/>
              <w:bottom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Pavia</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11,6</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11,4</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11,3</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11,2</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11,2</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11,0</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10,6</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10,5</w:t>
            </w:r>
          </w:p>
        </w:tc>
      </w:tr>
      <w:tr w:rsidR="00D77B0E" w:rsidRPr="007D7A1F" w:rsidTr="00D73F13">
        <w:trPr>
          <w:trHeight w:val="240"/>
        </w:trPr>
        <w:tc>
          <w:tcPr>
            <w:tcW w:w="574" w:type="pct"/>
            <w:tcBorders>
              <w:top w:val="nil"/>
              <w:left w:val="nil"/>
              <w:bottom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Sondrio</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9,9</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9,7</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9,4</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9,3</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9,0</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8,5</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8,2</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8,0</w:t>
            </w:r>
          </w:p>
        </w:tc>
      </w:tr>
      <w:tr w:rsidR="00D77B0E" w:rsidRPr="007D7A1F" w:rsidTr="00D73F13">
        <w:trPr>
          <w:trHeight w:val="240"/>
        </w:trPr>
        <w:tc>
          <w:tcPr>
            <w:tcW w:w="574" w:type="pct"/>
            <w:tcBorders>
              <w:top w:val="nil"/>
              <w:left w:val="nil"/>
              <w:bottom w:val="nil"/>
              <w:right w:val="nil"/>
            </w:tcBorders>
            <w:shd w:val="clear" w:color="auto" w:fill="auto"/>
            <w:vAlign w:val="center"/>
            <w:hideMark/>
          </w:tcPr>
          <w:p w:rsidR="00D77B0E" w:rsidRPr="007D7A1F" w:rsidRDefault="00D77B0E" w:rsidP="00D73F13">
            <w:pPr>
              <w:rPr>
                <w:rFonts w:ascii="Garamond" w:hAnsi="Garamond" w:cs="Calibri"/>
                <w:sz w:val="18"/>
                <w:szCs w:val="18"/>
              </w:rPr>
            </w:pPr>
            <w:r w:rsidRPr="007D7A1F">
              <w:rPr>
                <w:rFonts w:ascii="Garamond" w:hAnsi="Garamond" w:cs="Calibri"/>
                <w:sz w:val="18"/>
                <w:szCs w:val="18"/>
              </w:rPr>
              <w:t>Varese</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9,9</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9,6</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9,4</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9,2</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9,0</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8,8</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8,6</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8,4</w:t>
            </w:r>
          </w:p>
        </w:tc>
        <w:tc>
          <w:tcPr>
            <w:tcW w:w="492" w:type="pct"/>
            <w:tcBorders>
              <w:top w:val="nil"/>
              <w:left w:val="nil"/>
              <w:bottom w:val="nil"/>
              <w:right w:val="nil"/>
            </w:tcBorders>
            <w:shd w:val="clear" w:color="auto" w:fill="auto"/>
            <w:noWrap/>
            <w:vAlign w:val="bottom"/>
            <w:hideMark/>
          </w:tcPr>
          <w:p w:rsidR="00D77B0E" w:rsidRPr="007D7A1F" w:rsidRDefault="00D77B0E" w:rsidP="00D73F13">
            <w:pPr>
              <w:jc w:val="center"/>
              <w:rPr>
                <w:rFonts w:ascii="Garamond" w:hAnsi="Garamond" w:cs="Calibri"/>
                <w:color w:val="000000"/>
                <w:sz w:val="18"/>
                <w:szCs w:val="18"/>
              </w:rPr>
            </w:pPr>
            <w:r w:rsidRPr="007D7A1F">
              <w:rPr>
                <w:rFonts w:ascii="Garamond" w:hAnsi="Garamond" w:cs="Calibri"/>
                <w:color w:val="000000"/>
                <w:sz w:val="18"/>
                <w:szCs w:val="18"/>
              </w:rPr>
              <w:t>8,2</w:t>
            </w:r>
          </w:p>
        </w:tc>
      </w:tr>
      <w:tr w:rsidR="00D77B0E" w:rsidRPr="007D7A1F" w:rsidTr="00D73F13">
        <w:trPr>
          <w:trHeight w:val="165"/>
        </w:trPr>
        <w:tc>
          <w:tcPr>
            <w:tcW w:w="574" w:type="pct"/>
            <w:tcBorders>
              <w:top w:val="single" w:sz="4" w:space="0" w:color="auto"/>
              <w:left w:val="nil"/>
              <w:bottom w:val="single" w:sz="4" w:space="0" w:color="auto"/>
              <w:right w:val="nil"/>
            </w:tcBorders>
            <w:shd w:val="clear" w:color="auto" w:fill="auto"/>
            <w:vAlign w:val="center"/>
            <w:hideMark/>
          </w:tcPr>
          <w:p w:rsidR="00D77B0E" w:rsidRPr="007D7A1F" w:rsidRDefault="00D77B0E" w:rsidP="00D73F13">
            <w:pPr>
              <w:rPr>
                <w:rFonts w:ascii="Garamond" w:hAnsi="Garamond" w:cs="Calibri"/>
                <w:sz w:val="10"/>
                <w:szCs w:val="10"/>
              </w:rPr>
            </w:pPr>
            <w:r w:rsidRPr="007D7A1F">
              <w:rPr>
                <w:rFonts w:ascii="Garamond" w:hAnsi="Garamond" w:cs="Calibri"/>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color w:val="000000"/>
                <w:sz w:val="10"/>
                <w:szCs w:val="10"/>
              </w:rPr>
            </w:pPr>
            <w:r w:rsidRPr="007D7A1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color w:val="000000"/>
                <w:sz w:val="10"/>
                <w:szCs w:val="10"/>
              </w:rPr>
            </w:pPr>
            <w:r w:rsidRPr="007D7A1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color w:val="000000"/>
                <w:sz w:val="10"/>
                <w:szCs w:val="10"/>
              </w:rPr>
            </w:pPr>
            <w:r w:rsidRPr="007D7A1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color w:val="000000"/>
                <w:sz w:val="10"/>
                <w:szCs w:val="10"/>
              </w:rPr>
            </w:pPr>
            <w:r w:rsidRPr="007D7A1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color w:val="000000"/>
                <w:sz w:val="10"/>
                <w:szCs w:val="10"/>
              </w:rPr>
            </w:pPr>
            <w:r w:rsidRPr="007D7A1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color w:val="000000"/>
                <w:sz w:val="10"/>
                <w:szCs w:val="10"/>
              </w:rPr>
            </w:pPr>
            <w:r w:rsidRPr="007D7A1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color w:val="000000"/>
                <w:sz w:val="10"/>
                <w:szCs w:val="10"/>
              </w:rPr>
            </w:pPr>
            <w:r w:rsidRPr="007D7A1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color w:val="000000"/>
                <w:sz w:val="10"/>
                <w:szCs w:val="10"/>
              </w:rPr>
            </w:pPr>
            <w:r w:rsidRPr="007D7A1F">
              <w:rPr>
                <w:rFonts w:ascii="Garamond" w:hAnsi="Garamond" w:cs="Calibri"/>
                <w:color w:val="000000"/>
                <w:sz w:val="10"/>
                <w:szCs w:val="10"/>
              </w:rPr>
              <w:t> </w:t>
            </w:r>
          </w:p>
        </w:tc>
        <w:tc>
          <w:tcPr>
            <w:tcW w:w="492" w:type="pct"/>
            <w:tcBorders>
              <w:top w:val="single" w:sz="4" w:space="0" w:color="auto"/>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color w:val="000000"/>
                <w:sz w:val="10"/>
                <w:szCs w:val="10"/>
              </w:rPr>
            </w:pPr>
            <w:r w:rsidRPr="007D7A1F">
              <w:rPr>
                <w:rFonts w:ascii="Garamond" w:hAnsi="Garamond" w:cs="Calibri"/>
                <w:color w:val="000000"/>
                <w:sz w:val="10"/>
                <w:szCs w:val="10"/>
              </w:rPr>
              <w:t> </w:t>
            </w:r>
          </w:p>
        </w:tc>
      </w:tr>
      <w:tr w:rsidR="00D77B0E" w:rsidRPr="007D7A1F" w:rsidTr="00D73F13">
        <w:trPr>
          <w:trHeight w:val="240"/>
        </w:trPr>
        <w:tc>
          <w:tcPr>
            <w:tcW w:w="574" w:type="pct"/>
            <w:tcBorders>
              <w:top w:val="nil"/>
              <w:left w:val="nil"/>
              <w:bottom w:val="single" w:sz="4" w:space="0" w:color="auto"/>
              <w:right w:val="nil"/>
            </w:tcBorders>
            <w:shd w:val="clear" w:color="auto" w:fill="auto"/>
            <w:vAlign w:val="center"/>
            <w:hideMark/>
          </w:tcPr>
          <w:p w:rsidR="00D77B0E" w:rsidRPr="007D7A1F" w:rsidRDefault="00D77B0E" w:rsidP="00D73F13">
            <w:pPr>
              <w:rPr>
                <w:rFonts w:ascii="Garamond" w:hAnsi="Garamond" w:cs="Calibri"/>
                <w:b/>
                <w:bCs/>
                <w:sz w:val="18"/>
                <w:szCs w:val="18"/>
              </w:rPr>
            </w:pPr>
            <w:r w:rsidRPr="007D7A1F">
              <w:rPr>
                <w:rFonts w:ascii="Garamond" w:hAnsi="Garamond" w:cs="Calibri"/>
                <w:b/>
                <w:bCs/>
                <w:sz w:val="18"/>
                <w:szCs w:val="18"/>
              </w:rPr>
              <w:t>Lombardia</w:t>
            </w:r>
          </w:p>
        </w:tc>
        <w:tc>
          <w:tcPr>
            <w:tcW w:w="492" w:type="pct"/>
            <w:tcBorders>
              <w:top w:val="nil"/>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9,7</w:t>
            </w:r>
          </w:p>
        </w:tc>
        <w:tc>
          <w:tcPr>
            <w:tcW w:w="492" w:type="pct"/>
            <w:tcBorders>
              <w:top w:val="nil"/>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9,4</w:t>
            </w:r>
          </w:p>
        </w:tc>
        <w:tc>
          <w:tcPr>
            <w:tcW w:w="492" w:type="pct"/>
            <w:tcBorders>
              <w:top w:val="nil"/>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9,3</w:t>
            </w:r>
          </w:p>
        </w:tc>
        <w:tc>
          <w:tcPr>
            <w:tcW w:w="492" w:type="pct"/>
            <w:tcBorders>
              <w:top w:val="nil"/>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9,1</w:t>
            </w:r>
          </w:p>
        </w:tc>
        <w:tc>
          <w:tcPr>
            <w:tcW w:w="492" w:type="pct"/>
            <w:tcBorders>
              <w:top w:val="nil"/>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8,9</w:t>
            </w:r>
          </w:p>
        </w:tc>
        <w:tc>
          <w:tcPr>
            <w:tcW w:w="492" w:type="pct"/>
            <w:tcBorders>
              <w:top w:val="nil"/>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8,6</w:t>
            </w:r>
          </w:p>
        </w:tc>
        <w:tc>
          <w:tcPr>
            <w:tcW w:w="492" w:type="pct"/>
            <w:tcBorders>
              <w:top w:val="nil"/>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8,4</w:t>
            </w:r>
          </w:p>
        </w:tc>
        <w:tc>
          <w:tcPr>
            <w:tcW w:w="492" w:type="pct"/>
            <w:tcBorders>
              <w:top w:val="nil"/>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8,2</w:t>
            </w:r>
          </w:p>
        </w:tc>
        <w:tc>
          <w:tcPr>
            <w:tcW w:w="492" w:type="pct"/>
            <w:tcBorders>
              <w:top w:val="nil"/>
              <w:left w:val="nil"/>
              <w:bottom w:val="single" w:sz="4" w:space="0" w:color="auto"/>
              <w:right w:val="nil"/>
            </w:tcBorders>
            <w:shd w:val="clear" w:color="auto" w:fill="auto"/>
            <w:noWrap/>
            <w:vAlign w:val="bottom"/>
            <w:hideMark/>
          </w:tcPr>
          <w:p w:rsidR="00D77B0E" w:rsidRPr="007D7A1F" w:rsidRDefault="00D77B0E" w:rsidP="00D73F13">
            <w:pPr>
              <w:jc w:val="center"/>
              <w:rPr>
                <w:rFonts w:ascii="Garamond" w:hAnsi="Garamond" w:cs="Calibri"/>
                <w:b/>
                <w:bCs/>
                <w:color w:val="000000"/>
                <w:sz w:val="18"/>
                <w:szCs w:val="18"/>
              </w:rPr>
            </w:pPr>
            <w:r w:rsidRPr="007D7A1F">
              <w:rPr>
                <w:rFonts w:ascii="Garamond" w:hAnsi="Garamond" w:cs="Calibri"/>
                <w:b/>
                <w:bCs/>
                <w:color w:val="000000"/>
                <w:sz w:val="18"/>
                <w:szCs w:val="18"/>
              </w:rPr>
              <w:t>8,1</w:t>
            </w:r>
          </w:p>
        </w:tc>
      </w:tr>
    </w:tbl>
    <w:p w:rsidR="00D77B0E" w:rsidRDefault="00D77B0E" w:rsidP="00D77B0E">
      <w:pPr>
        <w:rPr>
          <w:rFonts w:ascii="Garamond" w:hAnsi="Garamond"/>
          <w:b/>
          <w:i/>
          <w:sz w:val="18"/>
          <w:szCs w:val="18"/>
        </w:rPr>
      </w:pPr>
      <w:r w:rsidRPr="007D7A1F">
        <w:rPr>
          <w:rFonts w:ascii="Garamond" w:hAnsi="Garamond"/>
          <w:b/>
          <w:i/>
          <w:sz w:val="18"/>
          <w:szCs w:val="18"/>
        </w:rPr>
        <w:t>Fonte: elaborazioni su dati Istat</w:t>
      </w:r>
    </w:p>
    <w:p w:rsidR="00D77B0E" w:rsidRDefault="00D77B0E" w:rsidP="00D77B0E">
      <w:pPr>
        <w:pStyle w:val="ecxmsonormal"/>
        <w:spacing w:before="0" w:beforeAutospacing="0" w:after="0" w:afterAutospacing="0"/>
        <w:jc w:val="both"/>
        <w:rPr>
          <w:rFonts w:ascii="Garamond" w:hAnsi="Garamond"/>
          <w:b/>
          <w:sz w:val="20"/>
          <w:szCs w:val="20"/>
        </w:rPr>
      </w:pPr>
    </w:p>
    <w:p w:rsidR="00D77B0E" w:rsidRDefault="00D77B0E" w:rsidP="00D77B0E">
      <w:pPr>
        <w:pStyle w:val="ecxmsonormal"/>
        <w:spacing w:before="0" w:beforeAutospacing="0" w:after="0" w:afterAutospacing="0"/>
        <w:jc w:val="both"/>
        <w:rPr>
          <w:rFonts w:ascii="Garamond" w:hAnsi="Garamond"/>
          <w:b/>
          <w:sz w:val="20"/>
          <w:szCs w:val="20"/>
        </w:rPr>
      </w:pPr>
    </w:p>
    <w:p w:rsidR="00D77B0E" w:rsidRDefault="00D77B0E" w:rsidP="00D77B0E">
      <w:pPr>
        <w:pStyle w:val="ecxmsonormal"/>
        <w:spacing w:before="0" w:beforeAutospacing="0" w:after="0" w:afterAutospacing="0"/>
        <w:jc w:val="both"/>
        <w:rPr>
          <w:rFonts w:ascii="Garamond" w:hAnsi="Garamond"/>
          <w:b/>
          <w:sz w:val="20"/>
          <w:szCs w:val="20"/>
        </w:rPr>
      </w:pPr>
    </w:p>
    <w:p w:rsidR="00D77B0E" w:rsidRDefault="00D77B0E" w:rsidP="00D77B0E">
      <w:pPr>
        <w:pStyle w:val="ecxmsonormal"/>
        <w:spacing w:before="0" w:beforeAutospacing="0" w:after="0" w:afterAutospacing="0"/>
        <w:jc w:val="both"/>
        <w:rPr>
          <w:rFonts w:ascii="Garamond" w:hAnsi="Garamond"/>
          <w:b/>
          <w:sz w:val="20"/>
          <w:szCs w:val="20"/>
        </w:rPr>
      </w:pPr>
    </w:p>
    <w:p w:rsidR="00D77B0E" w:rsidRPr="00AF57D0" w:rsidRDefault="00D77B0E" w:rsidP="00D77B0E">
      <w:pPr>
        <w:jc w:val="both"/>
        <w:rPr>
          <w:rFonts w:ascii="Garamond" w:hAnsi="Garamond"/>
          <w:b/>
          <w:bCs/>
          <w:color w:val="000000"/>
          <w:sz w:val="20"/>
          <w:szCs w:val="20"/>
        </w:rPr>
      </w:pPr>
      <w:r w:rsidRPr="007C5BF4">
        <w:rPr>
          <w:rFonts w:ascii="Garamond" w:hAnsi="Garamond"/>
          <w:b/>
          <w:bCs/>
          <w:color w:val="000000"/>
          <w:sz w:val="20"/>
          <w:szCs w:val="20"/>
        </w:rPr>
        <w:t xml:space="preserve">Indicatori demografici della popolazione residente </w:t>
      </w:r>
      <w:r w:rsidRPr="00AF57D0">
        <w:rPr>
          <w:rFonts w:ascii="Garamond" w:hAnsi="Garamond"/>
          <w:b/>
          <w:bCs/>
          <w:color w:val="000000"/>
          <w:sz w:val="20"/>
          <w:szCs w:val="20"/>
        </w:rPr>
        <w:t xml:space="preserve">nella provincia di Bergamo </w:t>
      </w:r>
      <w:r w:rsidRPr="007C5BF4">
        <w:rPr>
          <w:rFonts w:ascii="Garamond" w:hAnsi="Garamond"/>
          <w:b/>
          <w:bCs/>
          <w:color w:val="000000"/>
          <w:sz w:val="20"/>
          <w:szCs w:val="20"/>
        </w:rPr>
        <w:t>l 1.1.2012</w:t>
      </w:r>
    </w:p>
    <w:tbl>
      <w:tblPr>
        <w:tblW w:w="13250" w:type="dxa"/>
        <w:tblInd w:w="55" w:type="dxa"/>
        <w:tblCellMar>
          <w:left w:w="70" w:type="dxa"/>
          <w:right w:w="70" w:type="dxa"/>
        </w:tblCellMar>
        <w:tblLook w:val="04A0"/>
      </w:tblPr>
      <w:tblGrid>
        <w:gridCol w:w="13250"/>
      </w:tblGrid>
      <w:tr w:rsidR="00D77B0E" w:rsidRPr="00C14C35" w:rsidTr="00D73F13">
        <w:trPr>
          <w:trHeight w:val="225"/>
        </w:trPr>
        <w:tc>
          <w:tcPr>
            <w:tcW w:w="13250" w:type="dxa"/>
            <w:tcBorders>
              <w:top w:val="nil"/>
              <w:left w:val="nil"/>
              <w:bottom w:val="nil"/>
              <w:right w:val="nil"/>
            </w:tcBorders>
            <w:shd w:val="clear" w:color="auto" w:fill="auto"/>
            <w:noWrap/>
            <w:vAlign w:val="center"/>
            <w:hideMark/>
          </w:tcPr>
          <w:p w:rsidR="00D77B0E" w:rsidRDefault="00D77B0E" w:rsidP="00D73F13">
            <w:pPr>
              <w:rPr>
                <w:rFonts w:ascii="Verdana" w:hAnsi="Verdana"/>
                <w:color w:val="000000"/>
                <w:sz w:val="16"/>
                <w:szCs w:val="16"/>
              </w:rPr>
            </w:pPr>
          </w:p>
          <w:tbl>
            <w:tblPr>
              <w:tblW w:w="9400" w:type="dxa"/>
              <w:tblCellMar>
                <w:left w:w="70" w:type="dxa"/>
                <w:right w:w="70" w:type="dxa"/>
              </w:tblCellMar>
              <w:tblLook w:val="04A0"/>
            </w:tblPr>
            <w:tblGrid>
              <w:gridCol w:w="1242"/>
              <w:gridCol w:w="974"/>
              <w:gridCol w:w="1174"/>
              <w:gridCol w:w="1251"/>
              <w:gridCol w:w="1271"/>
              <w:gridCol w:w="1273"/>
              <w:gridCol w:w="1117"/>
              <w:gridCol w:w="1098"/>
            </w:tblGrid>
            <w:tr w:rsidR="00D77B0E" w:rsidRPr="00FE42BC" w:rsidTr="00D73F13">
              <w:trPr>
                <w:trHeight w:val="157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B0E" w:rsidRPr="00FE42BC" w:rsidRDefault="00D77B0E" w:rsidP="00D73F13">
                  <w:pPr>
                    <w:jc w:val="center"/>
                    <w:rPr>
                      <w:rFonts w:ascii="Garamond" w:hAnsi="Garamond"/>
                      <w:color w:val="000000"/>
                      <w:sz w:val="18"/>
                      <w:szCs w:val="18"/>
                    </w:rPr>
                  </w:pPr>
                  <w:r w:rsidRPr="00FE42BC">
                    <w:rPr>
                      <w:rFonts w:ascii="Garamond" w:hAnsi="Garamond"/>
                      <w:color w:val="000000"/>
                      <w:sz w:val="18"/>
                      <w:szCs w:val="18"/>
                    </w:rPr>
                    <w:t>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D77B0E" w:rsidRPr="00FE42BC" w:rsidRDefault="00D77B0E" w:rsidP="00D73F13">
                  <w:pPr>
                    <w:jc w:val="center"/>
                    <w:rPr>
                      <w:rFonts w:ascii="Garamond" w:hAnsi="Garamond"/>
                      <w:color w:val="000000"/>
                      <w:sz w:val="18"/>
                      <w:szCs w:val="18"/>
                    </w:rPr>
                  </w:pPr>
                  <w:r w:rsidRPr="00FE42BC">
                    <w:rPr>
                      <w:rFonts w:ascii="Garamond" w:hAnsi="Garamond"/>
                      <w:color w:val="000000"/>
                      <w:sz w:val="18"/>
                      <w:szCs w:val="18"/>
                    </w:rPr>
                    <w:t>Indice di vecchiaia</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D77B0E" w:rsidRPr="00FE42BC" w:rsidRDefault="00D77B0E" w:rsidP="00D73F13">
                  <w:pPr>
                    <w:jc w:val="center"/>
                    <w:rPr>
                      <w:rFonts w:ascii="Garamond" w:hAnsi="Garamond"/>
                      <w:color w:val="000000"/>
                      <w:sz w:val="18"/>
                      <w:szCs w:val="18"/>
                    </w:rPr>
                  </w:pPr>
                  <w:r w:rsidRPr="00FE42BC">
                    <w:rPr>
                      <w:rFonts w:ascii="Garamond" w:hAnsi="Garamond"/>
                      <w:color w:val="000000"/>
                      <w:sz w:val="18"/>
                      <w:szCs w:val="18"/>
                    </w:rPr>
                    <w:t>Indice di dipendenza strutturale</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D77B0E" w:rsidRPr="00FE42BC" w:rsidRDefault="00D77B0E" w:rsidP="00D73F13">
                  <w:pPr>
                    <w:jc w:val="center"/>
                    <w:rPr>
                      <w:rFonts w:ascii="Garamond" w:hAnsi="Garamond"/>
                      <w:color w:val="000000"/>
                      <w:sz w:val="18"/>
                      <w:szCs w:val="18"/>
                    </w:rPr>
                  </w:pPr>
                  <w:r w:rsidRPr="00FE42BC">
                    <w:rPr>
                      <w:rFonts w:ascii="Garamond" w:hAnsi="Garamond"/>
                      <w:color w:val="000000"/>
                      <w:sz w:val="18"/>
                      <w:szCs w:val="18"/>
                    </w:rPr>
                    <w:t>Indice di dipendenza strutturale dei giovani</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D77B0E" w:rsidRPr="00FE42BC" w:rsidRDefault="00D77B0E" w:rsidP="00D73F13">
                  <w:pPr>
                    <w:jc w:val="center"/>
                    <w:rPr>
                      <w:rFonts w:ascii="Garamond" w:hAnsi="Garamond"/>
                      <w:color w:val="000000"/>
                      <w:sz w:val="18"/>
                      <w:szCs w:val="18"/>
                    </w:rPr>
                  </w:pPr>
                  <w:r w:rsidRPr="00FE42BC">
                    <w:rPr>
                      <w:rFonts w:ascii="Garamond" w:hAnsi="Garamond"/>
                      <w:color w:val="000000"/>
                      <w:sz w:val="18"/>
                      <w:szCs w:val="18"/>
                    </w:rPr>
                    <w:t>Indice di dipendenza strutturale degli anziani</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D77B0E" w:rsidRPr="00FE42BC" w:rsidRDefault="00D77B0E" w:rsidP="00D73F13">
                  <w:pPr>
                    <w:jc w:val="center"/>
                    <w:rPr>
                      <w:rFonts w:ascii="Garamond" w:hAnsi="Garamond"/>
                      <w:color w:val="000000"/>
                      <w:sz w:val="18"/>
                      <w:szCs w:val="18"/>
                    </w:rPr>
                  </w:pPr>
                  <w:r w:rsidRPr="00FE42BC">
                    <w:rPr>
                      <w:rFonts w:ascii="Garamond" w:hAnsi="Garamond"/>
                      <w:color w:val="000000"/>
                      <w:sz w:val="18"/>
                      <w:szCs w:val="18"/>
                    </w:rPr>
                    <w:t>Indice di ricambio della popolazione in età attiva</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77B0E" w:rsidRPr="00FE42BC" w:rsidRDefault="00D77B0E" w:rsidP="00D73F13">
                  <w:pPr>
                    <w:jc w:val="center"/>
                    <w:rPr>
                      <w:rFonts w:ascii="Garamond" w:hAnsi="Garamond"/>
                      <w:color w:val="000000"/>
                      <w:sz w:val="18"/>
                      <w:szCs w:val="18"/>
                    </w:rPr>
                  </w:pPr>
                  <w:r w:rsidRPr="00FE42BC">
                    <w:rPr>
                      <w:rFonts w:ascii="Garamond" w:hAnsi="Garamond"/>
                      <w:color w:val="000000"/>
                      <w:sz w:val="18"/>
                      <w:szCs w:val="18"/>
                    </w:rPr>
                    <w:t>% Popolazione 15-24 anni sul Totale</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D77B0E" w:rsidRPr="00FE42BC" w:rsidRDefault="00D77B0E" w:rsidP="00D73F13">
                  <w:pPr>
                    <w:jc w:val="center"/>
                    <w:rPr>
                      <w:rFonts w:ascii="Garamond" w:hAnsi="Garamond"/>
                      <w:color w:val="000000"/>
                      <w:sz w:val="18"/>
                      <w:szCs w:val="18"/>
                    </w:rPr>
                  </w:pPr>
                  <w:r w:rsidRPr="00FE42BC">
                    <w:rPr>
                      <w:rFonts w:ascii="Garamond" w:hAnsi="Garamond"/>
                      <w:color w:val="000000"/>
                      <w:sz w:val="18"/>
                      <w:szCs w:val="18"/>
                    </w:rPr>
                    <w:t>% Stranieri su popolazione censita (ottobre 2011)</w:t>
                  </w:r>
                </w:p>
              </w:tc>
            </w:tr>
            <w:tr w:rsidR="00D77B0E" w:rsidRPr="00FE42BC" w:rsidTr="00D73F13">
              <w:trPr>
                <w:trHeight w:val="300"/>
              </w:trPr>
              <w:tc>
                <w:tcPr>
                  <w:tcW w:w="1242" w:type="dxa"/>
                  <w:tcBorders>
                    <w:top w:val="nil"/>
                    <w:left w:val="single" w:sz="4" w:space="0" w:color="auto"/>
                    <w:bottom w:val="nil"/>
                    <w:right w:val="single" w:sz="4" w:space="0" w:color="auto"/>
                  </w:tcBorders>
                  <w:shd w:val="clear" w:color="auto" w:fill="auto"/>
                  <w:noWrap/>
                  <w:vAlign w:val="center"/>
                  <w:hideMark/>
                </w:tcPr>
                <w:p w:rsidR="00D77B0E" w:rsidRPr="00FE42BC" w:rsidRDefault="00D77B0E" w:rsidP="00D73F13">
                  <w:pPr>
                    <w:rPr>
                      <w:rFonts w:ascii="Garamond" w:hAnsi="Garamond"/>
                      <w:b/>
                      <w:bCs/>
                      <w:color w:val="000000"/>
                      <w:sz w:val="18"/>
                      <w:szCs w:val="18"/>
                    </w:rPr>
                  </w:pPr>
                  <w:r w:rsidRPr="00FE42BC">
                    <w:rPr>
                      <w:rFonts w:ascii="Garamond" w:hAnsi="Garamond"/>
                      <w:b/>
                      <w:bCs/>
                      <w:color w:val="000000"/>
                      <w:sz w:val="18"/>
                      <w:szCs w:val="18"/>
                    </w:rPr>
                    <w:t>Bergamo</w:t>
                  </w:r>
                </w:p>
              </w:tc>
              <w:tc>
                <w:tcPr>
                  <w:tcW w:w="974" w:type="dxa"/>
                  <w:tcBorders>
                    <w:top w:val="nil"/>
                    <w:left w:val="nil"/>
                    <w:bottom w:val="nil"/>
                    <w:right w:val="single" w:sz="4" w:space="0" w:color="auto"/>
                  </w:tcBorders>
                  <w:shd w:val="clear" w:color="auto" w:fill="auto"/>
                  <w:noWrap/>
                  <w:vAlign w:val="center"/>
                  <w:hideMark/>
                </w:tcPr>
                <w:p w:rsidR="00D77B0E" w:rsidRPr="00FE42BC" w:rsidRDefault="00D77B0E" w:rsidP="00D73F13">
                  <w:pPr>
                    <w:jc w:val="right"/>
                    <w:rPr>
                      <w:rFonts w:ascii="Garamond" w:hAnsi="Garamond"/>
                      <w:b/>
                      <w:bCs/>
                      <w:color w:val="000000"/>
                      <w:sz w:val="18"/>
                      <w:szCs w:val="18"/>
                    </w:rPr>
                  </w:pPr>
                  <w:r w:rsidRPr="00FE42BC">
                    <w:rPr>
                      <w:rFonts w:ascii="Garamond" w:hAnsi="Garamond"/>
                      <w:b/>
                      <w:bCs/>
                      <w:color w:val="000000"/>
                      <w:sz w:val="18"/>
                      <w:szCs w:val="18"/>
                    </w:rPr>
                    <w:t>117,6</w:t>
                  </w:r>
                </w:p>
              </w:tc>
              <w:tc>
                <w:tcPr>
                  <w:tcW w:w="1174" w:type="dxa"/>
                  <w:tcBorders>
                    <w:top w:val="nil"/>
                    <w:left w:val="nil"/>
                    <w:bottom w:val="nil"/>
                    <w:right w:val="single" w:sz="4" w:space="0" w:color="auto"/>
                  </w:tcBorders>
                  <w:shd w:val="clear" w:color="auto" w:fill="auto"/>
                  <w:noWrap/>
                  <w:vAlign w:val="center"/>
                  <w:hideMark/>
                </w:tcPr>
                <w:p w:rsidR="00D77B0E" w:rsidRPr="00FE42BC" w:rsidRDefault="00D77B0E" w:rsidP="00D73F13">
                  <w:pPr>
                    <w:jc w:val="right"/>
                    <w:rPr>
                      <w:rFonts w:ascii="Garamond" w:hAnsi="Garamond"/>
                      <w:b/>
                      <w:bCs/>
                      <w:color w:val="000000"/>
                      <w:sz w:val="18"/>
                      <w:szCs w:val="18"/>
                    </w:rPr>
                  </w:pPr>
                  <w:r w:rsidRPr="00FE42BC">
                    <w:rPr>
                      <w:rFonts w:ascii="Garamond" w:hAnsi="Garamond"/>
                      <w:b/>
                      <w:bCs/>
                      <w:color w:val="000000"/>
                      <w:sz w:val="18"/>
                      <w:szCs w:val="18"/>
                    </w:rPr>
                    <w:t>51,4</w:t>
                  </w:r>
                </w:p>
              </w:tc>
              <w:tc>
                <w:tcPr>
                  <w:tcW w:w="1251" w:type="dxa"/>
                  <w:tcBorders>
                    <w:top w:val="nil"/>
                    <w:left w:val="nil"/>
                    <w:bottom w:val="nil"/>
                    <w:right w:val="single" w:sz="4" w:space="0" w:color="auto"/>
                  </w:tcBorders>
                  <w:shd w:val="clear" w:color="auto" w:fill="auto"/>
                  <w:noWrap/>
                  <w:vAlign w:val="center"/>
                  <w:hideMark/>
                </w:tcPr>
                <w:p w:rsidR="00D77B0E" w:rsidRPr="00FE42BC" w:rsidRDefault="00D77B0E" w:rsidP="00D73F13">
                  <w:pPr>
                    <w:jc w:val="right"/>
                    <w:rPr>
                      <w:rFonts w:ascii="Garamond" w:hAnsi="Garamond"/>
                      <w:b/>
                      <w:bCs/>
                      <w:color w:val="000000"/>
                      <w:sz w:val="18"/>
                      <w:szCs w:val="18"/>
                    </w:rPr>
                  </w:pPr>
                  <w:r w:rsidRPr="00FE42BC">
                    <w:rPr>
                      <w:rFonts w:ascii="Garamond" w:hAnsi="Garamond"/>
                      <w:b/>
                      <w:bCs/>
                      <w:color w:val="000000"/>
                      <w:sz w:val="18"/>
                      <w:szCs w:val="18"/>
                    </w:rPr>
                    <w:t>23,6</w:t>
                  </w:r>
                </w:p>
              </w:tc>
              <w:tc>
                <w:tcPr>
                  <w:tcW w:w="1271" w:type="dxa"/>
                  <w:tcBorders>
                    <w:top w:val="nil"/>
                    <w:left w:val="nil"/>
                    <w:bottom w:val="nil"/>
                    <w:right w:val="single" w:sz="4" w:space="0" w:color="auto"/>
                  </w:tcBorders>
                  <w:shd w:val="clear" w:color="auto" w:fill="auto"/>
                  <w:noWrap/>
                  <w:vAlign w:val="center"/>
                  <w:hideMark/>
                </w:tcPr>
                <w:p w:rsidR="00D77B0E" w:rsidRPr="00FE42BC" w:rsidRDefault="00D77B0E" w:rsidP="00D73F13">
                  <w:pPr>
                    <w:jc w:val="right"/>
                    <w:rPr>
                      <w:rFonts w:ascii="Garamond" w:hAnsi="Garamond"/>
                      <w:b/>
                      <w:bCs/>
                      <w:color w:val="000000"/>
                      <w:sz w:val="18"/>
                      <w:szCs w:val="18"/>
                    </w:rPr>
                  </w:pPr>
                  <w:r w:rsidRPr="00FE42BC">
                    <w:rPr>
                      <w:rFonts w:ascii="Garamond" w:hAnsi="Garamond"/>
                      <w:b/>
                      <w:bCs/>
                      <w:color w:val="000000"/>
                      <w:sz w:val="18"/>
                      <w:szCs w:val="18"/>
                    </w:rPr>
                    <w:t>27,8</w:t>
                  </w:r>
                </w:p>
              </w:tc>
              <w:tc>
                <w:tcPr>
                  <w:tcW w:w="1273" w:type="dxa"/>
                  <w:tcBorders>
                    <w:top w:val="nil"/>
                    <w:left w:val="nil"/>
                    <w:bottom w:val="nil"/>
                    <w:right w:val="single" w:sz="4" w:space="0" w:color="auto"/>
                  </w:tcBorders>
                  <w:shd w:val="clear" w:color="auto" w:fill="auto"/>
                  <w:noWrap/>
                  <w:vAlign w:val="center"/>
                  <w:hideMark/>
                </w:tcPr>
                <w:p w:rsidR="00D77B0E" w:rsidRPr="00FE42BC" w:rsidRDefault="00D77B0E" w:rsidP="00D73F13">
                  <w:pPr>
                    <w:jc w:val="right"/>
                    <w:rPr>
                      <w:rFonts w:ascii="Garamond" w:hAnsi="Garamond"/>
                      <w:b/>
                      <w:bCs/>
                      <w:color w:val="000000"/>
                      <w:sz w:val="18"/>
                      <w:szCs w:val="18"/>
                    </w:rPr>
                  </w:pPr>
                  <w:r w:rsidRPr="00FE42BC">
                    <w:rPr>
                      <w:rFonts w:ascii="Garamond" w:hAnsi="Garamond"/>
                      <w:b/>
                      <w:bCs/>
                      <w:color w:val="000000"/>
                      <w:sz w:val="18"/>
                      <w:szCs w:val="18"/>
                    </w:rPr>
                    <w:t>126,1</w:t>
                  </w:r>
                </w:p>
              </w:tc>
              <w:tc>
                <w:tcPr>
                  <w:tcW w:w="1117"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b/>
                      <w:bCs/>
                      <w:color w:val="000000"/>
                      <w:sz w:val="18"/>
                      <w:szCs w:val="18"/>
                    </w:rPr>
                  </w:pPr>
                  <w:r w:rsidRPr="00FE42BC">
                    <w:rPr>
                      <w:rFonts w:ascii="Garamond" w:hAnsi="Garamond"/>
                      <w:b/>
                      <w:bCs/>
                      <w:color w:val="000000"/>
                      <w:sz w:val="18"/>
                      <w:szCs w:val="18"/>
                    </w:rPr>
                    <w:t>9,8</w:t>
                  </w:r>
                </w:p>
              </w:tc>
              <w:tc>
                <w:tcPr>
                  <w:tcW w:w="1098"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b/>
                      <w:bCs/>
                      <w:color w:val="000000"/>
                      <w:sz w:val="18"/>
                      <w:szCs w:val="18"/>
                    </w:rPr>
                  </w:pPr>
                  <w:r w:rsidRPr="00FE42BC">
                    <w:rPr>
                      <w:rFonts w:ascii="Garamond" w:hAnsi="Garamond"/>
                      <w:b/>
                      <w:bCs/>
                      <w:color w:val="000000"/>
                      <w:sz w:val="18"/>
                      <w:szCs w:val="18"/>
                    </w:rPr>
                    <w:t>10,3</w:t>
                  </w:r>
                </w:p>
              </w:tc>
            </w:tr>
            <w:tr w:rsidR="00D77B0E" w:rsidRPr="00FE42BC" w:rsidTr="00D73F13">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B0E" w:rsidRPr="00FE42BC" w:rsidRDefault="00D77B0E" w:rsidP="00D73F13">
                  <w:pPr>
                    <w:rPr>
                      <w:rFonts w:ascii="Garamond" w:hAnsi="Garamond"/>
                      <w:color w:val="000000"/>
                      <w:sz w:val="18"/>
                      <w:szCs w:val="18"/>
                    </w:rPr>
                  </w:pPr>
                  <w:r w:rsidRPr="00FE42BC">
                    <w:rPr>
                      <w:rFonts w:ascii="Garamond" w:hAnsi="Garamond"/>
                      <w:color w:val="000000"/>
                      <w:sz w:val="18"/>
                      <w:szCs w:val="18"/>
                    </w:rPr>
                    <w:t>LOMBARDIA</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145,6</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54,1</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22,0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32,0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141,2</w:t>
                  </w:r>
                </w:p>
              </w:tc>
              <w:tc>
                <w:tcPr>
                  <w:tcW w:w="1117"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9,1</w:t>
                  </w:r>
                </w:p>
              </w:tc>
              <w:tc>
                <w:tcPr>
                  <w:tcW w:w="1098"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9,8</w:t>
                  </w:r>
                </w:p>
              </w:tc>
            </w:tr>
            <w:tr w:rsidR="00D77B0E" w:rsidRPr="00FE42BC" w:rsidTr="00D73F13">
              <w:trPr>
                <w:trHeight w:val="300"/>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D77B0E" w:rsidRPr="00FE42BC" w:rsidRDefault="00D77B0E" w:rsidP="00D73F13">
                  <w:pPr>
                    <w:rPr>
                      <w:rFonts w:ascii="Garamond" w:hAnsi="Garamond"/>
                      <w:color w:val="000000"/>
                      <w:sz w:val="18"/>
                      <w:szCs w:val="18"/>
                    </w:rPr>
                  </w:pPr>
                  <w:r w:rsidRPr="00FE42BC">
                    <w:rPr>
                      <w:rFonts w:ascii="Garamond" w:hAnsi="Garamond"/>
                      <w:color w:val="000000"/>
                      <w:sz w:val="18"/>
                      <w:szCs w:val="18"/>
                    </w:rPr>
                    <w:t>ITALIA</w:t>
                  </w:r>
                </w:p>
              </w:tc>
              <w:tc>
                <w:tcPr>
                  <w:tcW w:w="974"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148,6</w:t>
                  </w:r>
                </w:p>
              </w:tc>
              <w:tc>
                <w:tcPr>
                  <w:tcW w:w="1174"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53,5</w:t>
                  </w:r>
                </w:p>
              </w:tc>
              <w:tc>
                <w:tcPr>
                  <w:tcW w:w="1251"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21,5</w:t>
                  </w:r>
                </w:p>
              </w:tc>
              <w:tc>
                <w:tcPr>
                  <w:tcW w:w="1271"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32,0</w:t>
                  </w:r>
                </w:p>
              </w:tc>
              <w:tc>
                <w:tcPr>
                  <w:tcW w:w="1273"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129,8</w:t>
                  </w:r>
                </w:p>
              </w:tc>
              <w:tc>
                <w:tcPr>
                  <w:tcW w:w="1117"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10,0</w:t>
                  </w:r>
                </w:p>
              </w:tc>
              <w:tc>
                <w:tcPr>
                  <w:tcW w:w="1098" w:type="dxa"/>
                  <w:tcBorders>
                    <w:top w:val="nil"/>
                    <w:left w:val="nil"/>
                    <w:bottom w:val="single" w:sz="4" w:space="0" w:color="auto"/>
                    <w:right w:val="single" w:sz="4" w:space="0" w:color="auto"/>
                  </w:tcBorders>
                  <w:shd w:val="clear" w:color="auto" w:fill="auto"/>
                  <w:noWrap/>
                  <w:vAlign w:val="center"/>
                  <w:hideMark/>
                </w:tcPr>
                <w:p w:rsidR="00D77B0E" w:rsidRPr="00FE42BC" w:rsidRDefault="00D77B0E" w:rsidP="00D73F13">
                  <w:pPr>
                    <w:jc w:val="right"/>
                    <w:rPr>
                      <w:rFonts w:ascii="Garamond" w:hAnsi="Garamond"/>
                      <w:color w:val="000000"/>
                      <w:sz w:val="18"/>
                      <w:szCs w:val="18"/>
                    </w:rPr>
                  </w:pPr>
                  <w:r w:rsidRPr="00FE42BC">
                    <w:rPr>
                      <w:rFonts w:ascii="Garamond" w:hAnsi="Garamond"/>
                      <w:color w:val="000000"/>
                      <w:sz w:val="18"/>
                      <w:szCs w:val="18"/>
                    </w:rPr>
                    <w:t>6,8</w:t>
                  </w:r>
                </w:p>
              </w:tc>
            </w:tr>
            <w:tr w:rsidR="00D77B0E" w:rsidRPr="00FE42BC" w:rsidTr="00D73F13">
              <w:trPr>
                <w:trHeight w:val="300"/>
              </w:trPr>
              <w:tc>
                <w:tcPr>
                  <w:tcW w:w="4641" w:type="dxa"/>
                  <w:gridSpan w:val="4"/>
                  <w:tcBorders>
                    <w:top w:val="nil"/>
                    <w:left w:val="nil"/>
                    <w:bottom w:val="nil"/>
                    <w:right w:val="nil"/>
                  </w:tcBorders>
                  <w:shd w:val="clear" w:color="auto" w:fill="auto"/>
                  <w:noWrap/>
                  <w:vAlign w:val="center"/>
                  <w:hideMark/>
                </w:tcPr>
                <w:p w:rsidR="00D77B0E" w:rsidRPr="00FE42BC" w:rsidRDefault="00D77B0E" w:rsidP="00D73F13">
                  <w:pPr>
                    <w:rPr>
                      <w:i/>
                      <w:iCs/>
                      <w:sz w:val="20"/>
                      <w:szCs w:val="20"/>
                    </w:rPr>
                  </w:pPr>
                  <w:r w:rsidRPr="00FE42BC">
                    <w:rPr>
                      <w:i/>
                      <w:iCs/>
                      <w:sz w:val="20"/>
                      <w:szCs w:val="20"/>
                    </w:rPr>
                    <w:t>Fonte: Servizio Studi CCIAA di BG su dati Istat</w:t>
                  </w:r>
                </w:p>
              </w:tc>
              <w:tc>
                <w:tcPr>
                  <w:tcW w:w="1271" w:type="dxa"/>
                  <w:tcBorders>
                    <w:top w:val="nil"/>
                    <w:left w:val="nil"/>
                    <w:bottom w:val="nil"/>
                    <w:right w:val="nil"/>
                  </w:tcBorders>
                  <w:shd w:val="clear" w:color="auto" w:fill="auto"/>
                  <w:noWrap/>
                  <w:vAlign w:val="center"/>
                  <w:hideMark/>
                </w:tcPr>
                <w:p w:rsidR="00D77B0E" w:rsidRPr="00FE42BC" w:rsidRDefault="00D77B0E" w:rsidP="00D73F13">
                  <w:pPr>
                    <w:rPr>
                      <w:color w:val="000000"/>
                      <w:sz w:val="20"/>
                      <w:szCs w:val="20"/>
                    </w:rPr>
                  </w:pPr>
                </w:p>
              </w:tc>
              <w:tc>
                <w:tcPr>
                  <w:tcW w:w="1273" w:type="dxa"/>
                  <w:tcBorders>
                    <w:top w:val="nil"/>
                    <w:left w:val="nil"/>
                    <w:bottom w:val="nil"/>
                    <w:right w:val="nil"/>
                  </w:tcBorders>
                  <w:shd w:val="clear" w:color="auto" w:fill="auto"/>
                  <w:noWrap/>
                  <w:vAlign w:val="center"/>
                  <w:hideMark/>
                </w:tcPr>
                <w:p w:rsidR="00D77B0E" w:rsidRPr="00FE42BC" w:rsidRDefault="00D77B0E" w:rsidP="00D73F13">
                  <w:pPr>
                    <w:rPr>
                      <w:color w:val="000000"/>
                      <w:sz w:val="20"/>
                      <w:szCs w:val="20"/>
                    </w:rPr>
                  </w:pPr>
                </w:p>
              </w:tc>
              <w:tc>
                <w:tcPr>
                  <w:tcW w:w="1117" w:type="dxa"/>
                  <w:tcBorders>
                    <w:top w:val="nil"/>
                    <w:left w:val="nil"/>
                    <w:bottom w:val="nil"/>
                    <w:right w:val="nil"/>
                  </w:tcBorders>
                  <w:shd w:val="clear" w:color="auto" w:fill="auto"/>
                  <w:noWrap/>
                  <w:vAlign w:val="center"/>
                  <w:hideMark/>
                </w:tcPr>
                <w:p w:rsidR="00D77B0E" w:rsidRPr="00FE42BC" w:rsidRDefault="00D77B0E" w:rsidP="00D73F13">
                  <w:pPr>
                    <w:rPr>
                      <w:color w:val="000000"/>
                      <w:sz w:val="20"/>
                      <w:szCs w:val="20"/>
                    </w:rPr>
                  </w:pPr>
                </w:p>
              </w:tc>
              <w:tc>
                <w:tcPr>
                  <w:tcW w:w="1098" w:type="dxa"/>
                  <w:tcBorders>
                    <w:top w:val="nil"/>
                    <w:left w:val="nil"/>
                    <w:bottom w:val="nil"/>
                    <w:right w:val="nil"/>
                  </w:tcBorders>
                  <w:shd w:val="clear" w:color="auto" w:fill="auto"/>
                  <w:noWrap/>
                  <w:vAlign w:val="center"/>
                  <w:hideMark/>
                </w:tcPr>
                <w:p w:rsidR="00D77B0E" w:rsidRPr="00FE42BC" w:rsidRDefault="00D77B0E" w:rsidP="00D73F13">
                  <w:pPr>
                    <w:rPr>
                      <w:color w:val="000000"/>
                      <w:sz w:val="20"/>
                      <w:szCs w:val="20"/>
                    </w:rPr>
                  </w:pPr>
                </w:p>
              </w:tc>
            </w:tr>
          </w:tbl>
          <w:p w:rsidR="00D77B0E" w:rsidRPr="00C14C35" w:rsidRDefault="00D77B0E" w:rsidP="00D73F13">
            <w:pPr>
              <w:rPr>
                <w:rFonts w:ascii="Verdana" w:hAnsi="Verdana"/>
                <w:color w:val="000000"/>
                <w:sz w:val="16"/>
                <w:szCs w:val="16"/>
              </w:rPr>
            </w:pPr>
          </w:p>
        </w:tc>
      </w:tr>
    </w:tbl>
    <w:p w:rsidR="00D77B0E" w:rsidRPr="00AF57D0" w:rsidRDefault="00D77B0E" w:rsidP="00D77B0E">
      <w:pPr>
        <w:pStyle w:val="ecxmsonormal"/>
        <w:spacing w:before="0" w:beforeAutospacing="0" w:after="0" w:afterAutospacing="0"/>
        <w:jc w:val="both"/>
        <w:rPr>
          <w:rFonts w:ascii="Garamond" w:hAnsi="Garamond"/>
          <w:sz w:val="20"/>
          <w:szCs w:val="20"/>
        </w:rPr>
      </w:pPr>
      <w:r w:rsidRPr="00AF57D0">
        <w:rPr>
          <w:rFonts w:ascii="Garamond" w:hAnsi="Garamond"/>
          <w:sz w:val="20"/>
          <w:szCs w:val="20"/>
        </w:rPr>
        <w:t>Indice di vecchiaia: rapporto tra la popolazione di età superiore a 65 anni e quella di età compresa tra 0 e 14 anni (x 100).</w:t>
      </w:r>
    </w:p>
    <w:p w:rsidR="00D77B0E" w:rsidRPr="00AF57D0" w:rsidRDefault="00D77B0E" w:rsidP="00D77B0E">
      <w:pPr>
        <w:pStyle w:val="ecxmsonormal"/>
        <w:spacing w:before="0" w:beforeAutospacing="0" w:after="0" w:afterAutospacing="0"/>
        <w:jc w:val="both"/>
        <w:rPr>
          <w:rFonts w:ascii="Garamond" w:hAnsi="Garamond"/>
          <w:sz w:val="20"/>
          <w:szCs w:val="20"/>
        </w:rPr>
      </w:pPr>
      <w:r w:rsidRPr="00AF57D0">
        <w:rPr>
          <w:rFonts w:ascii="Garamond" w:hAnsi="Garamond"/>
          <w:sz w:val="20"/>
          <w:szCs w:val="20"/>
        </w:rPr>
        <w:t>Indice di dipendenza strutturale: rapporto tra la popolazione 0-14 anni e quella di 65 anni e più e (a denominatore) la popolazione in età da 15 a 64 anni  (x 100)</w:t>
      </w:r>
      <w:r>
        <w:rPr>
          <w:rFonts w:ascii="Garamond" w:hAnsi="Garamond"/>
          <w:sz w:val="20"/>
          <w:szCs w:val="20"/>
        </w:rPr>
        <w:t>.</w:t>
      </w:r>
    </w:p>
    <w:p w:rsidR="00D77B0E" w:rsidRPr="00AF57D0" w:rsidRDefault="00D77B0E" w:rsidP="00D77B0E">
      <w:pPr>
        <w:pStyle w:val="ecxmsonormal"/>
        <w:spacing w:before="0" w:beforeAutospacing="0" w:after="0" w:afterAutospacing="0"/>
        <w:jc w:val="both"/>
        <w:rPr>
          <w:rFonts w:ascii="Garamond" w:hAnsi="Garamond"/>
          <w:sz w:val="20"/>
          <w:szCs w:val="20"/>
        </w:rPr>
      </w:pPr>
      <w:r w:rsidRPr="00AF57D0">
        <w:rPr>
          <w:rFonts w:ascii="Garamond" w:hAnsi="Garamond"/>
          <w:sz w:val="20"/>
          <w:szCs w:val="20"/>
        </w:rPr>
        <w:t xml:space="preserve">Dipendenza anziani (indice di): rapporto tra popolazione di 65 anni e più e popolazione in età attiva (15-64 anni), moltiplicato </w:t>
      </w:r>
      <w:r>
        <w:rPr>
          <w:rFonts w:ascii="Garamond" w:hAnsi="Garamond"/>
          <w:sz w:val="20"/>
          <w:szCs w:val="20"/>
        </w:rPr>
        <w:t xml:space="preserve"> </w:t>
      </w:r>
      <w:r w:rsidRPr="00AF57D0">
        <w:rPr>
          <w:rFonts w:ascii="Garamond" w:hAnsi="Garamond"/>
          <w:sz w:val="20"/>
          <w:szCs w:val="20"/>
        </w:rPr>
        <w:t>per 100.</w:t>
      </w:r>
    </w:p>
    <w:p w:rsidR="00D77B0E" w:rsidRPr="00AF57D0" w:rsidRDefault="00D77B0E" w:rsidP="00D77B0E">
      <w:pPr>
        <w:pStyle w:val="ecxmsonormal"/>
        <w:spacing w:before="0" w:beforeAutospacing="0" w:after="0" w:afterAutospacing="0"/>
        <w:jc w:val="both"/>
        <w:rPr>
          <w:rFonts w:ascii="Garamond" w:hAnsi="Garamond"/>
          <w:sz w:val="20"/>
          <w:szCs w:val="20"/>
        </w:rPr>
      </w:pPr>
      <w:r w:rsidRPr="00AF57D0">
        <w:rPr>
          <w:rFonts w:ascii="Garamond" w:hAnsi="Garamond"/>
          <w:sz w:val="20"/>
          <w:szCs w:val="20"/>
        </w:rPr>
        <w:t>Dipendenza giovani (indice di): rapporto tra popolazione 0-14 anni e popolazione in età attiva (15-64 anni), moltiplicato per 100.</w:t>
      </w:r>
    </w:p>
    <w:p w:rsidR="00D77B0E" w:rsidRPr="00AF57D0" w:rsidRDefault="00D77B0E" w:rsidP="00D77B0E">
      <w:pPr>
        <w:pStyle w:val="ecxmsonormal"/>
        <w:spacing w:before="0" w:beforeAutospacing="0" w:after="0" w:afterAutospacing="0"/>
        <w:jc w:val="both"/>
        <w:rPr>
          <w:rFonts w:ascii="Garamond" w:hAnsi="Garamond"/>
          <w:sz w:val="20"/>
          <w:szCs w:val="20"/>
        </w:rPr>
      </w:pPr>
      <w:r w:rsidRPr="00AF57D0">
        <w:rPr>
          <w:rFonts w:ascii="Garamond" w:hAnsi="Garamond"/>
          <w:sz w:val="20"/>
          <w:szCs w:val="20"/>
        </w:rPr>
        <w:t>Indice di ricambio della popolazione in età attiva: rapporto tra coloro che stanno per “uscire” dalla popolazione potenzialmente lavorativa (età 60-64 anni) e il numero di quelli potenzialmente in ingresso sul mercato del lavoro (15-19 anni), moltiplicato per 100.</w:t>
      </w:r>
    </w:p>
    <w:p w:rsidR="00D77B0E" w:rsidRPr="00AF57D0" w:rsidRDefault="00D77B0E" w:rsidP="00D77B0E">
      <w:pPr>
        <w:pStyle w:val="ecxmsonormal"/>
        <w:spacing w:before="0" w:beforeAutospacing="0" w:after="0" w:afterAutospacing="0"/>
        <w:jc w:val="both"/>
        <w:rPr>
          <w:rFonts w:ascii="Garamond" w:hAnsi="Garamond"/>
          <w:sz w:val="20"/>
          <w:szCs w:val="20"/>
        </w:rPr>
      </w:pPr>
      <w:r w:rsidRPr="00AF57D0">
        <w:rPr>
          <w:rFonts w:ascii="Garamond" w:hAnsi="Garamond"/>
          <w:sz w:val="20"/>
          <w:szCs w:val="20"/>
        </w:rPr>
        <w:t>Indice di struttura della popolazione in età attiva: rapporto percentuale tra l'ammontare di popolazione in età 40-64 anni e quello</w:t>
      </w:r>
      <w:r>
        <w:rPr>
          <w:rFonts w:ascii="Garamond" w:hAnsi="Garamond"/>
          <w:sz w:val="20"/>
          <w:szCs w:val="20"/>
        </w:rPr>
        <w:t xml:space="preserve"> </w:t>
      </w:r>
      <w:r w:rsidRPr="00AF57D0">
        <w:rPr>
          <w:rFonts w:ascii="Garamond" w:hAnsi="Garamond"/>
          <w:sz w:val="20"/>
          <w:szCs w:val="20"/>
        </w:rPr>
        <w:t>in età 15-39, moltiplicato per 100</w:t>
      </w:r>
    </w:p>
    <w:p w:rsidR="00D77B0E" w:rsidRDefault="00D77B0E" w:rsidP="00D77B0E">
      <w:pPr>
        <w:pStyle w:val="ecxmsonormal"/>
        <w:spacing w:before="0" w:beforeAutospacing="0" w:after="0" w:afterAutospacing="0"/>
        <w:jc w:val="both"/>
        <w:rPr>
          <w:rFonts w:ascii="Garamond" w:hAnsi="Garamond"/>
          <w:b/>
          <w:sz w:val="20"/>
          <w:szCs w:val="20"/>
        </w:rPr>
      </w:pPr>
    </w:p>
    <w:p w:rsidR="00D77B0E" w:rsidRDefault="00D77B0E" w:rsidP="00D77B0E">
      <w:pPr>
        <w:spacing w:line="360" w:lineRule="auto"/>
        <w:jc w:val="both"/>
      </w:pPr>
      <w:r w:rsidRPr="000F56E0">
        <w:t>La crisi economica internazionale</w:t>
      </w:r>
      <w:r>
        <w:t>,</w:t>
      </w:r>
      <w:r w:rsidRPr="000F56E0">
        <w:t xml:space="preserve"> che </w:t>
      </w:r>
      <w:r>
        <w:t xml:space="preserve">si esprime ancora in modo significativo attraverso le difficoltà gestionali e programmatorie delle imprese, </w:t>
      </w:r>
      <w:r w:rsidRPr="000F56E0">
        <w:t>l’aumento della disoccupazione</w:t>
      </w:r>
      <w:r>
        <w:t xml:space="preserve">, </w:t>
      </w:r>
      <w:r w:rsidRPr="000F56E0">
        <w:t>il forte ricorso agli ammortizzatori sociali</w:t>
      </w:r>
      <w:r>
        <w:t xml:space="preserve"> e</w:t>
      </w:r>
      <w:r w:rsidRPr="000F56E0">
        <w:t xml:space="preserve"> il peggioramento delle condizioni lavorative </w:t>
      </w:r>
      <w:r>
        <w:t xml:space="preserve">e di vita </w:t>
      </w:r>
      <w:r w:rsidRPr="000F56E0">
        <w:t>delle fasce deboli (donne, immigrati, giovani), contribuisc</w:t>
      </w:r>
      <w:r>
        <w:t>e</w:t>
      </w:r>
      <w:r w:rsidRPr="000F56E0">
        <w:t xml:space="preserve"> a rendere la complessità sociale poco gestibile, con la conseguenza di innalzare il fabbisogno di politiche di regolazione </w:t>
      </w:r>
      <w:r>
        <w:t xml:space="preserve">e di sviluppo </w:t>
      </w:r>
      <w:r w:rsidRPr="000F56E0">
        <w:t xml:space="preserve">nel territorio. </w:t>
      </w:r>
      <w:r>
        <w:t>Basti pensare che negli ultimi due anni (dal primo trimestre 2011 al primo trimestre 2013) il territorio della provincia di Bergamo ha perduto circa il 10% di imprese giovanili (-974 unità), con un tasso negativo molto elevato registrato nei settori dell’edilizia (-22%) dell’”informazione e comunicazione” (-18%) e delle attività finanziarie e immobiliari (-12,9%).</w:t>
      </w:r>
    </w:p>
    <w:p w:rsidR="00D77B0E" w:rsidRDefault="00D77B0E" w:rsidP="00D77B0E">
      <w:pPr>
        <w:spacing w:line="360" w:lineRule="auto"/>
        <w:jc w:val="both"/>
      </w:pPr>
      <w:r>
        <w:t xml:space="preserve">Complessivamente, considerando solamente i primi tre mesi del 2013, la dinamica delle imprese bergamasche mostra un tasso di sviluppo negativo, con un numero delle cessazioni (2.390) assai superiore alle iscrizioni (1.817) e la conseguente perdita di 573 imprese (il dato è riferito a tutte le imprese). </w:t>
      </w:r>
      <w:r>
        <w:rPr>
          <w:rFonts w:ascii="Verdana" w:hAnsi="Verdana"/>
          <w:i/>
          <w:iCs/>
          <w:color w:val="000000"/>
          <w:sz w:val="20"/>
          <w:szCs w:val="20"/>
        </w:rPr>
        <w:t xml:space="preserve"> </w:t>
      </w:r>
      <w:r>
        <w:t xml:space="preserve">  </w:t>
      </w:r>
    </w:p>
    <w:p w:rsidR="00D77B0E" w:rsidRDefault="00D77B0E" w:rsidP="00D77B0E">
      <w:pPr>
        <w:spacing w:line="360" w:lineRule="auto"/>
        <w:jc w:val="both"/>
      </w:pPr>
      <w:r>
        <w:t>La lettura della complessità sociale deve inoltre tenere conto del consolidarsi negli ultimi anni del fenomeno delle infiltrazioni mafiose nella bergamasca</w:t>
      </w:r>
      <w:r>
        <w:rPr>
          <w:rStyle w:val="Rimandonotaapidipagina"/>
        </w:rPr>
        <w:footnoteReference w:id="11"/>
      </w:r>
      <w:r>
        <w:t>.</w:t>
      </w:r>
    </w:p>
    <w:p w:rsidR="00D77B0E" w:rsidRDefault="00D77B0E" w:rsidP="00D77B0E">
      <w:pPr>
        <w:spacing w:line="360" w:lineRule="auto"/>
        <w:jc w:val="both"/>
      </w:pPr>
    </w:p>
    <w:p w:rsidR="00D77B0E" w:rsidRDefault="00D77B0E" w:rsidP="00D77B0E">
      <w:pPr>
        <w:spacing w:line="360" w:lineRule="auto"/>
        <w:jc w:val="both"/>
      </w:pPr>
    </w:p>
    <w:tbl>
      <w:tblPr>
        <w:tblW w:w="9260" w:type="dxa"/>
        <w:tblInd w:w="55" w:type="dxa"/>
        <w:tblCellMar>
          <w:left w:w="70" w:type="dxa"/>
          <w:right w:w="70" w:type="dxa"/>
        </w:tblCellMar>
        <w:tblLook w:val="04A0"/>
      </w:tblPr>
      <w:tblGrid>
        <w:gridCol w:w="3880"/>
        <w:gridCol w:w="1380"/>
        <w:gridCol w:w="1600"/>
        <w:gridCol w:w="1200"/>
        <w:gridCol w:w="1200"/>
      </w:tblGrid>
      <w:tr w:rsidR="00D77B0E" w:rsidRPr="00600308" w:rsidTr="00D73F13">
        <w:trPr>
          <w:trHeight w:val="225"/>
        </w:trPr>
        <w:tc>
          <w:tcPr>
            <w:tcW w:w="5260" w:type="dxa"/>
            <w:gridSpan w:val="2"/>
            <w:tcBorders>
              <w:top w:val="nil"/>
              <w:left w:val="nil"/>
              <w:bottom w:val="nil"/>
              <w:right w:val="nil"/>
            </w:tcBorders>
            <w:shd w:val="clear" w:color="000000" w:fill="FFFFFF"/>
            <w:noWrap/>
            <w:vAlign w:val="bottom"/>
            <w:hideMark/>
          </w:tcPr>
          <w:p w:rsidR="00D77B0E" w:rsidRPr="00600308" w:rsidRDefault="00D77B0E" w:rsidP="00D73F13">
            <w:pPr>
              <w:rPr>
                <w:rFonts w:ascii="Garamond" w:hAnsi="Garamond"/>
                <w:b/>
                <w:bCs/>
                <w:sz w:val="20"/>
                <w:szCs w:val="20"/>
              </w:rPr>
            </w:pPr>
            <w:r w:rsidRPr="00600308">
              <w:rPr>
                <w:rFonts w:ascii="Garamond" w:hAnsi="Garamond"/>
                <w:b/>
                <w:bCs/>
                <w:sz w:val="20"/>
                <w:szCs w:val="20"/>
              </w:rPr>
              <w:t>Imprese giovanili attive in provincia di Bergamo</w:t>
            </w:r>
          </w:p>
        </w:tc>
        <w:tc>
          <w:tcPr>
            <w:tcW w:w="1600" w:type="dxa"/>
            <w:tcBorders>
              <w:top w:val="nil"/>
              <w:left w:val="nil"/>
              <w:bottom w:val="nil"/>
              <w:right w:val="nil"/>
            </w:tcBorders>
            <w:shd w:val="clear" w:color="000000" w:fill="FFFFFF"/>
            <w:noWrap/>
            <w:vAlign w:val="bottom"/>
            <w:hideMark/>
          </w:tcPr>
          <w:p w:rsidR="00D77B0E" w:rsidRPr="00600308" w:rsidRDefault="00D77B0E" w:rsidP="00D73F13">
            <w:pPr>
              <w:rPr>
                <w:rFonts w:ascii="Verdana" w:hAnsi="Verdana"/>
                <w:color w:val="000000"/>
                <w:sz w:val="18"/>
                <w:szCs w:val="18"/>
              </w:rPr>
            </w:pPr>
            <w:r w:rsidRPr="00600308">
              <w:rPr>
                <w:rFonts w:ascii="Verdana" w:hAnsi="Verdana"/>
                <w:color w:val="000000"/>
                <w:sz w:val="18"/>
                <w:szCs w:val="18"/>
              </w:rPr>
              <w:t> </w:t>
            </w:r>
          </w:p>
        </w:tc>
        <w:tc>
          <w:tcPr>
            <w:tcW w:w="1200" w:type="dxa"/>
            <w:tcBorders>
              <w:top w:val="nil"/>
              <w:left w:val="nil"/>
              <w:bottom w:val="nil"/>
              <w:right w:val="nil"/>
            </w:tcBorders>
            <w:shd w:val="clear" w:color="000000" w:fill="FFFFFF"/>
            <w:noWrap/>
            <w:vAlign w:val="bottom"/>
            <w:hideMark/>
          </w:tcPr>
          <w:p w:rsidR="00D77B0E" w:rsidRPr="00600308" w:rsidRDefault="00D77B0E" w:rsidP="00D73F13">
            <w:pPr>
              <w:rPr>
                <w:rFonts w:ascii="Verdana" w:hAnsi="Verdana"/>
                <w:color w:val="000000"/>
                <w:sz w:val="18"/>
                <w:szCs w:val="18"/>
              </w:rPr>
            </w:pPr>
            <w:r w:rsidRPr="00600308">
              <w:rPr>
                <w:rFonts w:ascii="Verdana" w:hAnsi="Verdana"/>
                <w:color w:val="000000"/>
                <w:sz w:val="18"/>
                <w:szCs w:val="18"/>
              </w:rPr>
              <w:t> </w:t>
            </w:r>
          </w:p>
        </w:tc>
        <w:tc>
          <w:tcPr>
            <w:tcW w:w="1200" w:type="dxa"/>
            <w:tcBorders>
              <w:top w:val="nil"/>
              <w:left w:val="nil"/>
              <w:bottom w:val="nil"/>
              <w:right w:val="nil"/>
            </w:tcBorders>
            <w:shd w:val="clear" w:color="000000" w:fill="FFFFFF"/>
            <w:noWrap/>
            <w:vAlign w:val="bottom"/>
            <w:hideMark/>
          </w:tcPr>
          <w:p w:rsidR="00D77B0E" w:rsidRPr="00600308" w:rsidRDefault="00D77B0E" w:rsidP="00D73F13">
            <w:pPr>
              <w:rPr>
                <w:rFonts w:ascii="Verdana" w:hAnsi="Verdana"/>
                <w:color w:val="000000"/>
                <w:sz w:val="18"/>
                <w:szCs w:val="18"/>
              </w:rPr>
            </w:pPr>
            <w:r w:rsidRPr="00600308">
              <w:rPr>
                <w:rFonts w:ascii="Verdana" w:hAnsi="Verdana"/>
                <w:color w:val="000000"/>
                <w:sz w:val="18"/>
                <w:szCs w:val="18"/>
              </w:rPr>
              <w:t> </w:t>
            </w:r>
          </w:p>
        </w:tc>
      </w:tr>
      <w:tr w:rsidR="00D77B0E" w:rsidRPr="00600308" w:rsidTr="00D73F13">
        <w:trPr>
          <w:trHeight w:val="225"/>
        </w:trPr>
        <w:tc>
          <w:tcPr>
            <w:tcW w:w="3880" w:type="dxa"/>
            <w:tcBorders>
              <w:top w:val="nil"/>
              <w:left w:val="nil"/>
              <w:bottom w:val="single" w:sz="4" w:space="0" w:color="auto"/>
              <w:right w:val="nil"/>
            </w:tcBorders>
            <w:shd w:val="clear" w:color="000000" w:fill="FFFFFF"/>
            <w:noWrap/>
            <w:vAlign w:val="bottom"/>
            <w:hideMark/>
          </w:tcPr>
          <w:p w:rsidR="00D77B0E" w:rsidRPr="00600308" w:rsidRDefault="00D77B0E" w:rsidP="00D73F13">
            <w:pPr>
              <w:rPr>
                <w:rFonts w:ascii="Garamond" w:hAnsi="Garamond"/>
                <w:b/>
                <w:bCs/>
                <w:sz w:val="20"/>
                <w:szCs w:val="20"/>
              </w:rPr>
            </w:pPr>
            <w:r w:rsidRPr="00600308">
              <w:rPr>
                <w:rFonts w:ascii="Garamond" w:hAnsi="Garamond"/>
                <w:b/>
                <w:bCs/>
                <w:sz w:val="20"/>
                <w:szCs w:val="20"/>
              </w:rPr>
              <w:t> </w:t>
            </w:r>
          </w:p>
        </w:tc>
        <w:tc>
          <w:tcPr>
            <w:tcW w:w="1380" w:type="dxa"/>
            <w:tcBorders>
              <w:top w:val="nil"/>
              <w:left w:val="nil"/>
              <w:bottom w:val="single" w:sz="4" w:space="0" w:color="auto"/>
              <w:right w:val="nil"/>
            </w:tcBorders>
            <w:shd w:val="clear" w:color="000000" w:fill="FFFFFF"/>
            <w:noWrap/>
            <w:vAlign w:val="bottom"/>
            <w:hideMark/>
          </w:tcPr>
          <w:p w:rsidR="00D77B0E" w:rsidRPr="00600308" w:rsidRDefault="00D77B0E" w:rsidP="00D73F13">
            <w:pPr>
              <w:rPr>
                <w:rFonts w:ascii="Verdana" w:hAnsi="Verdana"/>
                <w:color w:val="000000"/>
                <w:sz w:val="18"/>
                <w:szCs w:val="18"/>
              </w:rPr>
            </w:pPr>
            <w:r w:rsidRPr="00600308">
              <w:rPr>
                <w:rFonts w:ascii="Verdana" w:hAnsi="Verdana"/>
                <w:color w:val="000000"/>
                <w:sz w:val="18"/>
                <w:szCs w:val="18"/>
              </w:rPr>
              <w:t> </w:t>
            </w:r>
          </w:p>
        </w:tc>
        <w:tc>
          <w:tcPr>
            <w:tcW w:w="1600" w:type="dxa"/>
            <w:tcBorders>
              <w:top w:val="nil"/>
              <w:left w:val="nil"/>
              <w:bottom w:val="single" w:sz="4" w:space="0" w:color="auto"/>
              <w:right w:val="nil"/>
            </w:tcBorders>
            <w:shd w:val="clear" w:color="000000" w:fill="FFFFFF"/>
            <w:noWrap/>
            <w:vAlign w:val="bottom"/>
            <w:hideMark/>
          </w:tcPr>
          <w:p w:rsidR="00D77B0E" w:rsidRPr="00600308" w:rsidRDefault="00D77B0E" w:rsidP="00D73F13">
            <w:pPr>
              <w:rPr>
                <w:rFonts w:ascii="Verdana" w:hAnsi="Verdana"/>
                <w:color w:val="000000"/>
                <w:sz w:val="18"/>
                <w:szCs w:val="18"/>
              </w:rPr>
            </w:pPr>
            <w:r w:rsidRPr="00600308">
              <w:rPr>
                <w:rFonts w:ascii="Verdana" w:hAnsi="Verdana"/>
                <w:color w:val="000000"/>
                <w:sz w:val="18"/>
                <w:szCs w:val="18"/>
              </w:rPr>
              <w:t> </w:t>
            </w:r>
          </w:p>
        </w:tc>
        <w:tc>
          <w:tcPr>
            <w:tcW w:w="1200" w:type="dxa"/>
            <w:tcBorders>
              <w:top w:val="nil"/>
              <w:left w:val="nil"/>
              <w:bottom w:val="single" w:sz="4" w:space="0" w:color="auto"/>
              <w:right w:val="nil"/>
            </w:tcBorders>
            <w:shd w:val="clear" w:color="000000" w:fill="FFFFFF"/>
            <w:noWrap/>
            <w:vAlign w:val="bottom"/>
            <w:hideMark/>
          </w:tcPr>
          <w:p w:rsidR="00D77B0E" w:rsidRPr="00600308" w:rsidRDefault="00D77B0E" w:rsidP="00D73F13">
            <w:pPr>
              <w:rPr>
                <w:rFonts w:ascii="Verdana" w:hAnsi="Verdana"/>
                <w:color w:val="000000"/>
                <w:sz w:val="18"/>
                <w:szCs w:val="18"/>
              </w:rPr>
            </w:pPr>
            <w:r w:rsidRPr="00600308">
              <w:rPr>
                <w:rFonts w:ascii="Verdana" w:hAnsi="Verdana"/>
                <w:color w:val="000000"/>
                <w:sz w:val="18"/>
                <w:szCs w:val="18"/>
              </w:rPr>
              <w:t> </w:t>
            </w:r>
          </w:p>
        </w:tc>
        <w:tc>
          <w:tcPr>
            <w:tcW w:w="1200" w:type="dxa"/>
            <w:tcBorders>
              <w:top w:val="nil"/>
              <w:left w:val="nil"/>
              <w:bottom w:val="single" w:sz="4" w:space="0" w:color="auto"/>
              <w:right w:val="nil"/>
            </w:tcBorders>
            <w:shd w:val="clear" w:color="000000" w:fill="FFFFFF"/>
            <w:noWrap/>
            <w:vAlign w:val="bottom"/>
            <w:hideMark/>
          </w:tcPr>
          <w:p w:rsidR="00D77B0E" w:rsidRPr="00600308" w:rsidRDefault="00D77B0E" w:rsidP="00D73F13">
            <w:pPr>
              <w:rPr>
                <w:rFonts w:ascii="Verdana" w:hAnsi="Verdana"/>
                <w:color w:val="000000"/>
                <w:sz w:val="18"/>
                <w:szCs w:val="18"/>
              </w:rPr>
            </w:pPr>
            <w:r w:rsidRPr="00600308">
              <w:rPr>
                <w:rFonts w:ascii="Verdana" w:hAnsi="Verdana"/>
                <w:color w:val="000000"/>
                <w:sz w:val="18"/>
                <w:szCs w:val="18"/>
              </w:rPr>
              <w:t> </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sz w:val="18"/>
                <w:szCs w:val="18"/>
              </w:rPr>
            </w:pPr>
            <w:r w:rsidRPr="00600308">
              <w:rPr>
                <w:rFonts w:ascii="Garamond" w:hAnsi="Garamond"/>
                <w:sz w:val="18"/>
                <w:szCs w:val="18"/>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sz w:val="18"/>
                <w:szCs w:val="18"/>
              </w:rPr>
            </w:pPr>
            <w:r w:rsidRPr="00600308">
              <w:rPr>
                <w:rFonts w:ascii="Garamond" w:hAnsi="Garamond"/>
                <w:sz w:val="18"/>
                <w:szCs w:val="18"/>
              </w:rPr>
              <w:t>1° trim 2011</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sz w:val="18"/>
                <w:szCs w:val="18"/>
              </w:rPr>
            </w:pPr>
            <w:r w:rsidRPr="00600308">
              <w:rPr>
                <w:rFonts w:ascii="Garamond" w:hAnsi="Garamond"/>
                <w:sz w:val="18"/>
                <w:szCs w:val="18"/>
              </w:rPr>
              <w:t>1° trim 2013</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sz w:val="18"/>
                <w:szCs w:val="18"/>
              </w:rPr>
            </w:pPr>
            <w:r w:rsidRPr="00600308">
              <w:rPr>
                <w:rFonts w:ascii="Garamond" w:hAnsi="Garamond"/>
                <w:sz w:val="18"/>
                <w:szCs w:val="18"/>
              </w:rPr>
              <w:t>var. ass.</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sz w:val="18"/>
                <w:szCs w:val="18"/>
              </w:rPr>
            </w:pPr>
            <w:r w:rsidRPr="00600308">
              <w:rPr>
                <w:rFonts w:ascii="Garamond" w:hAnsi="Garamond"/>
                <w:sz w:val="18"/>
                <w:szCs w:val="18"/>
              </w:rPr>
              <w:t>var %</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Agricoltura</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457</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441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-3,5</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Industria (BCDE)</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824</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730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-94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-11,4</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Edilizia</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3.224</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2.514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-710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-22,0</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Commercio</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1.849</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1.818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-31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-1,7</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Trasporto e magazzinaggio</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184</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186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1,1</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Ristorazione e alloggio</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847</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896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49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5,8</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Informazione e comunicazione</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164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-36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-18,0</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Attività finanziarie e immobiliari</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559</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487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-72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-12,9</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Attività professionali</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280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262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-6,4</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Servizi operativi alle imprese</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269</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270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0,4</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Istruzione e sanità</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57</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62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8,8</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sz w:val="20"/>
                <w:szCs w:val="20"/>
              </w:rPr>
            </w:pPr>
            <w:r w:rsidRPr="00600308">
              <w:rPr>
                <w:rFonts w:ascii="Garamond" w:hAnsi="Garamond"/>
                <w:sz w:val="20"/>
                <w:szCs w:val="20"/>
              </w:rPr>
              <w:t>Altri servizi</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912</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840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-72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sz w:val="20"/>
                <w:szCs w:val="20"/>
              </w:rPr>
            </w:pPr>
            <w:r w:rsidRPr="00600308">
              <w:rPr>
                <w:rFonts w:ascii="Garamond" w:hAnsi="Garamond"/>
                <w:sz w:val="20"/>
                <w:szCs w:val="20"/>
              </w:rPr>
              <w:t>-7,9</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i/>
                <w:iCs/>
                <w:sz w:val="20"/>
                <w:szCs w:val="20"/>
              </w:rPr>
            </w:pPr>
            <w:r w:rsidRPr="00600308">
              <w:rPr>
                <w:rFonts w:ascii="Garamond" w:hAnsi="Garamond"/>
                <w:i/>
                <w:iCs/>
                <w:sz w:val="20"/>
                <w:szCs w:val="20"/>
              </w:rPr>
              <w:t>Non classificate</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i/>
                <w:iCs/>
                <w:sz w:val="20"/>
                <w:szCs w:val="20"/>
              </w:rPr>
            </w:pPr>
            <w:r w:rsidRPr="00600308">
              <w:rPr>
                <w:rFonts w:ascii="Garamond" w:hAnsi="Garamond"/>
                <w:i/>
                <w:iCs/>
                <w:sz w:val="20"/>
                <w:szCs w:val="20"/>
              </w:rPr>
              <w:t>10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i/>
                <w:iCs/>
                <w:sz w:val="20"/>
                <w:szCs w:val="20"/>
              </w:rPr>
            </w:pPr>
            <w:r w:rsidRPr="00600308">
              <w:rPr>
                <w:rFonts w:ascii="Garamond" w:hAnsi="Garamond"/>
                <w:i/>
                <w:iCs/>
                <w:sz w:val="20"/>
                <w:szCs w:val="20"/>
              </w:rPr>
              <w:t>28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sz w:val="20"/>
                <w:szCs w:val="20"/>
              </w:rPr>
            </w:pPr>
            <w:r w:rsidRPr="00600308">
              <w:rPr>
                <w:rFonts w:ascii="Garamond" w:hAnsi="Garamond"/>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sz w:val="20"/>
                <w:szCs w:val="20"/>
              </w:rPr>
            </w:pPr>
            <w:r w:rsidRPr="00600308">
              <w:rPr>
                <w:rFonts w:ascii="Garamond" w:hAnsi="Garamond"/>
                <w:sz w:val="20"/>
                <w:szCs w:val="20"/>
              </w:rPr>
              <w:t> </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rPr>
                <w:rFonts w:ascii="Garamond" w:hAnsi="Garamond"/>
                <w:i/>
                <w:iCs/>
                <w:sz w:val="20"/>
                <w:szCs w:val="20"/>
              </w:rPr>
            </w:pPr>
            <w:r w:rsidRPr="00600308">
              <w:rPr>
                <w:rFonts w:ascii="Garamond" w:hAnsi="Garamond"/>
                <w:i/>
                <w:iCs/>
                <w:sz w:val="20"/>
                <w:szCs w:val="20"/>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i/>
                <w:iCs/>
                <w:sz w:val="20"/>
                <w:szCs w:val="20"/>
              </w:rPr>
            </w:pPr>
            <w:r w:rsidRPr="00600308">
              <w:rPr>
                <w:rFonts w:ascii="Garamond" w:hAnsi="Garamond"/>
                <w:i/>
                <w:iCs/>
                <w:sz w:val="20"/>
                <w:szCs w:val="20"/>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i/>
                <w:iCs/>
                <w:sz w:val="20"/>
                <w:szCs w:val="20"/>
              </w:rPr>
            </w:pPr>
            <w:r w:rsidRPr="00600308">
              <w:rPr>
                <w:rFonts w:ascii="Garamond" w:hAnsi="Garamond"/>
                <w:i/>
                <w:iCs/>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sz w:val="20"/>
                <w:szCs w:val="20"/>
              </w:rPr>
            </w:pPr>
            <w:r w:rsidRPr="00600308">
              <w:rPr>
                <w:rFonts w:ascii="Garamond" w:hAnsi="Garamond"/>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sz w:val="20"/>
                <w:szCs w:val="20"/>
              </w:rPr>
            </w:pPr>
            <w:r w:rsidRPr="00600308">
              <w:rPr>
                <w:rFonts w:ascii="Garamond" w:hAnsi="Garamond"/>
                <w:sz w:val="20"/>
                <w:szCs w:val="20"/>
              </w:rPr>
              <w:t> </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7B0E" w:rsidRPr="00600308" w:rsidRDefault="00D77B0E" w:rsidP="00D73F13">
            <w:pPr>
              <w:jc w:val="center"/>
              <w:rPr>
                <w:rFonts w:ascii="Garamond" w:hAnsi="Garamond"/>
                <w:b/>
                <w:bCs/>
                <w:sz w:val="20"/>
                <w:szCs w:val="20"/>
              </w:rPr>
            </w:pPr>
            <w:r w:rsidRPr="00600308">
              <w:rPr>
                <w:rFonts w:ascii="Garamond" w:hAnsi="Garamond"/>
                <w:b/>
                <w:bCs/>
                <w:sz w:val="20"/>
                <w:szCs w:val="20"/>
              </w:rPr>
              <w:t>TOTALE</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b/>
                <w:bCs/>
                <w:sz w:val="20"/>
                <w:szCs w:val="20"/>
              </w:rPr>
            </w:pPr>
            <w:r w:rsidRPr="00600308">
              <w:rPr>
                <w:rFonts w:ascii="Garamond" w:hAnsi="Garamond"/>
                <w:b/>
                <w:bCs/>
                <w:sz w:val="20"/>
                <w:szCs w:val="20"/>
              </w:rPr>
              <w:t>9.672</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b/>
                <w:bCs/>
                <w:sz w:val="20"/>
                <w:szCs w:val="20"/>
              </w:rPr>
            </w:pPr>
            <w:r w:rsidRPr="00600308">
              <w:rPr>
                <w:rFonts w:ascii="Garamond" w:hAnsi="Garamond"/>
                <w:b/>
                <w:bCs/>
                <w:sz w:val="20"/>
                <w:szCs w:val="20"/>
              </w:rPr>
              <w:t>8.698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b/>
                <w:bCs/>
                <w:sz w:val="20"/>
                <w:szCs w:val="20"/>
              </w:rPr>
            </w:pPr>
            <w:r w:rsidRPr="00600308">
              <w:rPr>
                <w:rFonts w:ascii="Garamond" w:hAnsi="Garamond"/>
                <w:b/>
                <w:bCs/>
                <w:sz w:val="20"/>
                <w:szCs w:val="20"/>
              </w:rPr>
              <w:t>-974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b/>
                <w:bCs/>
                <w:sz w:val="20"/>
                <w:szCs w:val="20"/>
              </w:rPr>
            </w:pPr>
            <w:r w:rsidRPr="00600308">
              <w:rPr>
                <w:rFonts w:ascii="Garamond" w:hAnsi="Garamond"/>
                <w:b/>
                <w:bCs/>
                <w:sz w:val="20"/>
                <w:szCs w:val="20"/>
              </w:rPr>
              <w:t>-10,1</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i/>
                <w:iCs/>
                <w:sz w:val="20"/>
                <w:szCs w:val="20"/>
              </w:rPr>
            </w:pPr>
            <w:r w:rsidRPr="00600308">
              <w:rPr>
                <w:rFonts w:ascii="Garamond" w:hAnsi="Garamond"/>
                <w:i/>
                <w:iCs/>
                <w:sz w:val="20"/>
                <w:szCs w:val="20"/>
              </w:rPr>
              <w:t>Imp giovanili in % sul totale imprese</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i/>
                <w:iCs/>
                <w:sz w:val="20"/>
                <w:szCs w:val="20"/>
              </w:rPr>
            </w:pPr>
            <w:r w:rsidRPr="00600308">
              <w:rPr>
                <w:rFonts w:ascii="Garamond" w:hAnsi="Garamond"/>
                <w:i/>
                <w:iCs/>
                <w:sz w:val="20"/>
                <w:szCs w:val="20"/>
              </w:rPr>
              <w:t>8,5</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jc w:val="right"/>
              <w:rPr>
                <w:rFonts w:ascii="Garamond" w:hAnsi="Garamond"/>
                <w:i/>
                <w:iCs/>
                <w:sz w:val="20"/>
                <w:szCs w:val="20"/>
              </w:rPr>
            </w:pPr>
            <w:r w:rsidRPr="00600308">
              <w:rPr>
                <w:rFonts w:ascii="Garamond" w:hAnsi="Garamond"/>
                <w:i/>
                <w:iCs/>
                <w:sz w:val="20"/>
                <w:szCs w:val="20"/>
              </w:rPr>
              <w:t>7,6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r>
      <w:tr w:rsidR="00D77B0E" w:rsidRPr="00600308" w:rsidTr="00D73F13">
        <w:trPr>
          <w:trHeight w:val="225"/>
        </w:trPr>
        <w:tc>
          <w:tcPr>
            <w:tcW w:w="3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r>
      <w:tr w:rsidR="00D77B0E" w:rsidRPr="00600308" w:rsidTr="00D73F13">
        <w:trPr>
          <w:trHeight w:val="225"/>
        </w:trPr>
        <w:tc>
          <w:tcPr>
            <w:tcW w:w="5260" w:type="dxa"/>
            <w:gridSpan w:val="2"/>
            <w:tcBorders>
              <w:top w:val="single" w:sz="4" w:space="0" w:color="auto"/>
              <w:left w:val="nil"/>
              <w:bottom w:val="nil"/>
              <w:right w:val="nil"/>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192898">
              <w:rPr>
                <w:rFonts w:ascii="Garamond" w:hAnsi="Garamond"/>
                <w:color w:val="000000"/>
                <w:sz w:val="20"/>
                <w:szCs w:val="20"/>
              </w:rPr>
              <w:t xml:space="preserve">Fonte: </w:t>
            </w:r>
            <w:r w:rsidRPr="00600308">
              <w:rPr>
                <w:rFonts w:ascii="Garamond" w:hAnsi="Garamond"/>
                <w:color w:val="000000"/>
                <w:sz w:val="20"/>
                <w:szCs w:val="20"/>
              </w:rPr>
              <w:t>Servizio Studi CCIAA BG su dati Infocamere</w:t>
            </w:r>
          </w:p>
        </w:tc>
        <w:tc>
          <w:tcPr>
            <w:tcW w:w="1600" w:type="dxa"/>
            <w:tcBorders>
              <w:top w:val="single" w:sz="4" w:space="0" w:color="auto"/>
              <w:left w:val="nil"/>
              <w:bottom w:val="nil"/>
              <w:right w:val="nil"/>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c>
          <w:tcPr>
            <w:tcW w:w="1200" w:type="dxa"/>
            <w:tcBorders>
              <w:top w:val="single" w:sz="4" w:space="0" w:color="auto"/>
              <w:left w:val="nil"/>
              <w:bottom w:val="nil"/>
              <w:right w:val="nil"/>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c>
          <w:tcPr>
            <w:tcW w:w="1200" w:type="dxa"/>
            <w:tcBorders>
              <w:top w:val="single" w:sz="4" w:space="0" w:color="auto"/>
              <w:left w:val="nil"/>
              <w:bottom w:val="nil"/>
              <w:right w:val="nil"/>
            </w:tcBorders>
            <w:shd w:val="clear" w:color="000000" w:fill="FFFFFF"/>
            <w:noWrap/>
            <w:vAlign w:val="bottom"/>
            <w:hideMark/>
          </w:tcPr>
          <w:p w:rsidR="00D77B0E" w:rsidRPr="00600308" w:rsidRDefault="00D77B0E" w:rsidP="00D73F13">
            <w:pPr>
              <w:rPr>
                <w:rFonts w:ascii="Garamond" w:hAnsi="Garamond"/>
                <w:color w:val="000000"/>
                <w:sz w:val="20"/>
                <w:szCs w:val="20"/>
              </w:rPr>
            </w:pPr>
            <w:r w:rsidRPr="00600308">
              <w:rPr>
                <w:rFonts w:ascii="Garamond" w:hAnsi="Garamond"/>
                <w:color w:val="000000"/>
                <w:sz w:val="20"/>
                <w:szCs w:val="20"/>
              </w:rPr>
              <w:t> </w:t>
            </w:r>
          </w:p>
        </w:tc>
      </w:tr>
    </w:tbl>
    <w:p w:rsidR="00D77B0E" w:rsidRPr="000F56E0" w:rsidRDefault="00D77B0E" w:rsidP="00D77B0E">
      <w:pPr>
        <w:spacing w:line="360" w:lineRule="auto"/>
        <w:jc w:val="both"/>
      </w:pPr>
    </w:p>
    <w:p w:rsidR="00D77B0E" w:rsidRDefault="00D77B0E" w:rsidP="00D77B0E">
      <w:pPr>
        <w:spacing w:line="360" w:lineRule="auto"/>
        <w:jc w:val="both"/>
        <w:rPr>
          <w:rStyle w:val="current"/>
        </w:rPr>
      </w:pPr>
      <w:r w:rsidRPr="000F56E0">
        <w:rPr>
          <w:rStyle w:val="current"/>
        </w:rPr>
        <w:t xml:space="preserve">L’analisi del livello di ricchezza a livello provinciale attraverso la consistenza del Prodotto Interno Lordo pro-capite dell’intera economia, mostra ancora ritardi significativi nell’aggiornamento dei dati. Tuttavia nel 2010 la provincia di </w:t>
      </w:r>
      <w:r>
        <w:rPr>
          <w:rStyle w:val="current"/>
        </w:rPr>
        <w:t>Bergamo</w:t>
      </w:r>
      <w:r w:rsidRPr="000F56E0">
        <w:rPr>
          <w:rStyle w:val="current"/>
        </w:rPr>
        <w:t xml:space="preserve"> si colloca al</w:t>
      </w:r>
      <w:r>
        <w:rPr>
          <w:rStyle w:val="current"/>
        </w:rPr>
        <w:t xml:space="preserve"> terzo </w:t>
      </w:r>
      <w:r w:rsidRPr="000F56E0">
        <w:rPr>
          <w:rStyle w:val="current"/>
        </w:rPr>
        <w:t>posto tra le province lombarde</w:t>
      </w:r>
      <w:r>
        <w:rPr>
          <w:rStyle w:val="current"/>
        </w:rPr>
        <w:t xml:space="preserve"> nella graduatoria del Pil pro-capite</w:t>
      </w:r>
      <w:r w:rsidRPr="000F56E0">
        <w:rPr>
          <w:rStyle w:val="current"/>
        </w:rPr>
        <w:t xml:space="preserve">, con circa </w:t>
      </w:r>
      <w:r>
        <w:rPr>
          <w:rStyle w:val="current"/>
        </w:rPr>
        <w:t>31.700</w:t>
      </w:r>
      <w:r w:rsidRPr="000F56E0">
        <w:rPr>
          <w:rStyle w:val="current"/>
        </w:rPr>
        <w:t xml:space="preserve"> mila euro per abitante</w:t>
      </w:r>
      <w:r>
        <w:rPr>
          <w:rStyle w:val="current"/>
        </w:rPr>
        <w:t xml:space="preserve">. Si tratta di un valore inferiore </w:t>
      </w:r>
      <w:r w:rsidRPr="000F56E0">
        <w:rPr>
          <w:rStyle w:val="current"/>
        </w:rPr>
        <w:t xml:space="preserve">solamente al dato di </w:t>
      </w:r>
      <w:r>
        <w:rPr>
          <w:rStyle w:val="current"/>
        </w:rPr>
        <w:t>Milano e Mantova, e comunque più basso delle prestazioni raggiunte nel periodo pre crisi (nel 2007 il Pil della bergamasca ha raggiunto infatti circa 32.100 euro pro capite).</w:t>
      </w:r>
      <w:r w:rsidRPr="000F56E0">
        <w:rPr>
          <w:rStyle w:val="current"/>
        </w:rPr>
        <w:t xml:space="preserve"> Bisogna comunque notare come alla forte contrazione del Pil rilevata tra il 2008 ed il 2009 (-5,</w:t>
      </w:r>
      <w:r>
        <w:rPr>
          <w:rStyle w:val="current"/>
        </w:rPr>
        <w:t>3</w:t>
      </w:r>
      <w:r w:rsidRPr="000F56E0">
        <w:rPr>
          <w:rStyle w:val="current"/>
        </w:rPr>
        <w:t>%) sia seguito nella provincia di Lecco un rimbalzo piuttosto contenuto nel 2010 (pari a +2,</w:t>
      </w:r>
      <w:r>
        <w:rPr>
          <w:rStyle w:val="current"/>
        </w:rPr>
        <w:t>9</w:t>
      </w:r>
      <w:r w:rsidRPr="000F56E0">
        <w:rPr>
          <w:rStyle w:val="current"/>
        </w:rPr>
        <w:t xml:space="preserve">%), soprattutto se il dato viene posto a confronto con il trend rilevato nei territori di Cremona (+4,8%), Varese (+3,5%) e Como (+3,4%). </w:t>
      </w:r>
    </w:p>
    <w:p w:rsidR="00D77B0E" w:rsidRDefault="00D77B0E" w:rsidP="00D77B0E">
      <w:pPr>
        <w:spacing w:line="360" w:lineRule="auto"/>
        <w:jc w:val="both"/>
        <w:rPr>
          <w:rStyle w:val="current"/>
        </w:rPr>
      </w:pPr>
      <w:r>
        <w:rPr>
          <w:rStyle w:val="current"/>
        </w:rPr>
        <w:t xml:space="preserve">Le recenti proiezioni </w:t>
      </w:r>
      <w:r w:rsidRPr="00A223CE">
        <w:rPr>
          <w:rStyle w:val="current"/>
        </w:rPr>
        <w:t xml:space="preserve">Prometeia </w:t>
      </w:r>
      <w:r>
        <w:rPr>
          <w:rStyle w:val="current"/>
        </w:rPr>
        <w:t xml:space="preserve">(giugno 2013) lasciano pensare che gli effetti della crisi nella bergamasca sono stati e saranno ancora rilevanti. Infatti, le elaborazioni effettuate per il 2011/2012 mostrano una riduzione del valore aggiunto dello 0,8%, un decremento più forte rispetto al livello regionale (-0,5%).  </w:t>
      </w:r>
    </w:p>
    <w:p w:rsidR="00D77B0E" w:rsidRDefault="00D77B0E" w:rsidP="00D77B0E">
      <w:pPr>
        <w:spacing w:line="360" w:lineRule="auto"/>
        <w:jc w:val="both"/>
        <w:rPr>
          <w:rStyle w:val="current"/>
        </w:rPr>
      </w:pPr>
      <w:r>
        <w:rPr>
          <w:rStyle w:val="current"/>
        </w:rPr>
        <w:t xml:space="preserve">Relativamente al 2013 Prometeia prevede un peggioramento delle prestazioni degli indicatori macroeconomici: un calo del valore aggiunto dell’1% (in linea con il dato regionale), la riduzione dell’occupazione dello 0,7% e il sensibile rallentamento delle esportazioni (3,2% annuo rispetto al 5,9% rilevato dall’ISTAT per il 2012). </w:t>
      </w:r>
    </w:p>
    <w:p w:rsidR="00D77B0E" w:rsidRDefault="00D77B0E" w:rsidP="00D77B0E">
      <w:pPr>
        <w:spacing w:line="360" w:lineRule="auto"/>
        <w:jc w:val="both"/>
        <w:rPr>
          <w:rStyle w:val="current"/>
        </w:rPr>
      </w:pPr>
      <w:r>
        <w:rPr>
          <w:rStyle w:val="current"/>
        </w:rPr>
        <w:t xml:space="preserve">Va sottolineato come, relativamente al I trimestre 2013, proprio i dati ISTAT sull’export sottolineano un preoccupante calo del valore delle esportazioni rispetto allo stesso periodo dell’anno </w:t>
      </w:r>
      <w:r>
        <w:rPr>
          <w:rStyle w:val="current"/>
        </w:rPr>
        <w:lastRenderedPageBreak/>
        <w:t xml:space="preserve">precedente, pari a – 1,8%. Se si considera che l’incidenza percentuale del valore delle esportazioni sul totale del valore aggiunto è pari nel 2013, al 42,3% (stime Prometeia), è facile immaginare che la situazione socio-economica territoriale è destinata a peggiorare sensibilmente in assenza di un radicale cambiamento di rotta.  </w:t>
      </w:r>
    </w:p>
    <w:p w:rsidR="00D77B0E" w:rsidRDefault="00D77B0E" w:rsidP="00D77B0E"/>
    <w:p w:rsidR="00D77B0E" w:rsidRPr="003943C2" w:rsidRDefault="00D77B0E" w:rsidP="00D77B0E">
      <w:pPr>
        <w:jc w:val="both"/>
        <w:rPr>
          <w:rFonts w:ascii="Garamond" w:hAnsi="Garamond"/>
          <w:b/>
          <w:bCs/>
          <w:color w:val="000000"/>
          <w:sz w:val="20"/>
          <w:szCs w:val="20"/>
        </w:rPr>
      </w:pPr>
      <w:r w:rsidRPr="003943C2">
        <w:rPr>
          <w:rFonts w:ascii="Garamond" w:hAnsi="Garamond"/>
          <w:b/>
          <w:bCs/>
          <w:color w:val="000000"/>
          <w:sz w:val="20"/>
          <w:szCs w:val="20"/>
        </w:rPr>
        <w:t>Variazioni medie annue di alcuni aggregati economici. Anni 201</w:t>
      </w:r>
      <w:r>
        <w:rPr>
          <w:rFonts w:ascii="Garamond" w:hAnsi="Garamond"/>
          <w:b/>
          <w:bCs/>
          <w:color w:val="000000"/>
          <w:sz w:val="20"/>
          <w:szCs w:val="20"/>
        </w:rPr>
        <w:t>3</w:t>
      </w:r>
    </w:p>
    <w:tbl>
      <w:tblPr>
        <w:tblW w:w="6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02"/>
        <w:gridCol w:w="1418"/>
        <w:gridCol w:w="1136"/>
        <w:gridCol w:w="1559"/>
        <w:gridCol w:w="1163"/>
      </w:tblGrid>
      <w:tr w:rsidR="00D77B0E" w:rsidRPr="00642AEC" w:rsidTr="00D73F13">
        <w:trPr>
          <w:trHeight w:val="240"/>
        </w:trPr>
        <w:tc>
          <w:tcPr>
            <w:tcW w:w="1402" w:type="dxa"/>
          </w:tcPr>
          <w:p w:rsidR="00D77B0E" w:rsidRPr="003943C2" w:rsidRDefault="00D77B0E" w:rsidP="00D73F13">
            <w:pPr>
              <w:jc w:val="right"/>
              <w:rPr>
                <w:rFonts w:ascii="Garamond" w:hAnsi="Garamond"/>
                <w:color w:val="000000"/>
                <w:sz w:val="20"/>
                <w:szCs w:val="20"/>
              </w:rPr>
            </w:pPr>
          </w:p>
        </w:tc>
        <w:tc>
          <w:tcPr>
            <w:tcW w:w="5276" w:type="dxa"/>
            <w:gridSpan w:val="4"/>
            <w:shd w:val="clear" w:color="auto" w:fill="auto"/>
            <w:noWrap/>
            <w:vAlign w:val="center"/>
          </w:tcPr>
          <w:p w:rsidR="00D77B0E" w:rsidRPr="003943C2" w:rsidRDefault="00D77B0E" w:rsidP="00D73F13">
            <w:pPr>
              <w:jc w:val="center"/>
              <w:rPr>
                <w:rFonts w:ascii="Garamond" w:hAnsi="Garamond"/>
                <w:sz w:val="20"/>
                <w:szCs w:val="20"/>
              </w:rPr>
            </w:pPr>
            <w:r w:rsidRPr="003943C2">
              <w:rPr>
                <w:rFonts w:ascii="Garamond" w:hAnsi="Garamond"/>
                <w:sz w:val="20"/>
                <w:szCs w:val="20"/>
              </w:rPr>
              <w:t>Tasso di crescita medio annuo</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Province Lombarde</w:t>
            </w:r>
          </w:p>
        </w:tc>
        <w:tc>
          <w:tcPr>
            <w:tcW w:w="1418" w:type="dxa"/>
            <w:shd w:val="clear" w:color="auto" w:fill="auto"/>
            <w:noWrap/>
            <w:vAlign w:val="center"/>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Valore aggiunto (valori reali)</w:t>
            </w:r>
          </w:p>
        </w:tc>
        <w:tc>
          <w:tcPr>
            <w:tcW w:w="1136" w:type="dxa"/>
            <w:shd w:val="clear" w:color="auto" w:fill="auto"/>
            <w:noWrap/>
            <w:vAlign w:val="center"/>
          </w:tcPr>
          <w:p w:rsidR="00D77B0E" w:rsidRPr="003943C2" w:rsidRDefault="00D77B0E" w:rsidP="00D73F13">
            <w:pPr>
              <w:rPr>
                <w:rFonts w:ascii="Garamond" w:hAnsi="Garamond"/>
                <w:color w:val="000000"/>
                <w:sz w:val="20"/>
                <w:szCs w:val="20"/>
              </w:rPr>
            </w:pPr>
            <w:r w:rsidRPr="00642AEC">
              <w:rPr>
                <w:rFonts w:ascii="Garamond" w:hAnsi="Garamond"/>
                <w:sz w:val="20"/>
                <w:szCs w:val="20"/>
              </w:rPr>
              <w:t>Esportazioni di beni verso l'estero (valori reali)</w:t>
            </w:r>
          </w:p>
        </w:tc>
        <w:tc>
          <w:tcPr>
            <w:tcW w:w="1559" w:type="dxa"/>
            <w:shd w:val="clear" w:color="auto" w:fill="auto"/>
            <w:noWrap/>
            <w:vAlign w:val="center"/>
          </w:tcPr>
          <w:p w:rsidR="00D77B0E" w:rsidRPr="003943C2" w:rsidRDefault="00D77B0E" w:rsidP="00D73F13">
            <w:pPr>
              <w:rPr>
                <w:rFonts w:ascii="Garamond" w:hAnsi="Garamond"/>
                <w:color w:val="000000"/>
                <w:sz w:val="20"/>
                <w:szCs w:val="20"/>
              </w:rPr>
            </w:pPr>
            <w:r w:rsidRPr="00642AEC">
              <w:rPr>
                <w:rFonts w:ascii="Garamond" w:hAnsi="Garamond"/>
                <w:sz w:val="20"/>
                <w:szCs w:val="20"/>
              </w:rPr>
              <w:t>Spesa per consumi delle famiglie (valori correnti)</w:t>
            </w:r>
          </w:p>
        </w:tc>
        <w:tc>
          <w:tcPr>
            <w:tcW w:w="1163" w:type="dxa"/>
            <w:shd w:val="clear" w:color="auto" w:fill="auto"/>
            <w:noWrap/>
            <w:vAlign w:val="center"/>
          </w:tcPr>
          <w:p w:rsidR="00D77B0E" w:rsidRPr="003943C2" w:rsidRDefault="00D77B0E" w:rsidP="00D73F13">
            <w:pPr>
              <w:rPr>
                <w:rFonts w:ascii="Garamond" w:hAnsi="Garamond"/>
                <w:color w:val="000000"/>
                <w:sz w:val="20"/>
                <w:szCs w:val="20"/>
              </w:rPr>
            </w:pPr>
            <w:r w:rsidRPr="00642AEC">
              <w:rPr>
                <w:rFonts w:ascii="Garamond" w:hAnsi="Garamond"/>
                <w:sz w:val="20"/>
                <w:szCs w:val="20"/>
              </w:rPr>
              <w:t>Occupazione</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Varese</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-1,2</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2,7</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-0,8</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Como</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-1,2</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8,4</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-0,8</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Sondrio</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-0,5</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6,6</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-0,3</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Milano</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-0,7</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5,3</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-0,4</w:t>
            </w:r>
          </w:p>
        </w:tc>
      </w:tr>
      <w:tr w:rsidR="00D77B0E" w:rsidRPr="00642AEC" w:rsidTr="00D73F13">
        <w:trPr>
          <w:trHeight w:val="240"/>
        </w:trPr>
        <w:tc>
          <w:tcPr>
            <w:tcW w:w="1402" w:type="dxa"/>
          </w:tcPr>
          <w:p w:rsidR="00D77B0E" w:rsidRPr="003943C2" w:rsidRDefault="00D77B0E" w:rsidP="00D73F13">
            <w:pPr>
              <w:rPr>
                <w:rFonts w:ascii="Garamond" w:hAnsi="Garamond"/>
                <w:b/>
                <w:bCs/>
                <w:color w:val="000000"/>
                <w:sz w:val="20"/>
                <w:szCs w:val="20"/>
              </w:rPr>
            </w:pPr>
            <w:r w:rsidRPr="003943C2">
              <w:rPr>
                <w:rFonts w:ascii="Garamond" w:hAnsi="Garamond"/>
                <w:b/>
                <w:bCs/>
                <w:color w:val="000000"/>
                <w:sz w:val="20"/>
                <w:szCs w:val="20"/>
              </w:rPr>
              <w:t>Bergamo</w:t>
            </w:r>
          </w:p>
        </w:tc>
        <w:tc>
          <w:tcPr>
            <w:tcW w:w="1418" w:type="dxa"/>
            <w:shd w:val="clear" w:color="auto" w:fill="auto"/>
            <w:noWrap/>
            <w:vAlign w:val="center"/>
            <w:hideMark/>
          </w:tcPr>
          <w:p w:rsidR="00D77B0E" w:rsidRPr="003943C2" w:rsidRDefault="00D77B0E" w:rsidP="00D73F13">
            <w:pPr>
              <w:jc w:val="center"/>
              <w:rPr>
                <w:rFonts w:ascii="Garamond" w:hAnsi="Garamond"/>
                <w:b/>
                <w:bCs/>
                <w:color w:val="000000"/>
                <w:sz w:val="20"/>
                <w:szCs w:val="20"/>
              </w:rPr>
            </w:pPr>
            <w:r w:rsidRPr="003943C2">
              <w:rPr>
                <w:rFonts w:ascii="Garamond" w:hAnsi="Garamond"/>
                <w:b/>
                <w:bCs/>
                <w:color w:val="000000"/>
                <w:sz w:val="20"/>
                <w:szCs w:val="20"/>
              </w:rPr>
              <w:t>-1,0</w:t>
            </w:r>
          </w:p>
        </w:tc>
        <w:tc>
          <w:tcPr>
            <w:tcW w:w="1136" w:type="dxa"/>
            <w:shd w:val="clear" w:color="auto" w:fill="auto"/>
            <w:noWrap/>
            <w:vAlign w:val="center"/>
            <w:hideMark/>
          </w:tcPr>
          <w:p w:rsidR="00D77B0E" w:rsidRPr="003943C2" w:rsidRDefault="00D77B0E" w:rsidP="00D73F13">
            <w:pPr>
              <w:jc w:val="center"/>
              <w:rPr>
                <w:rFonts w:ascii="Garamond" w:hAnsi="Garamond"/>
                <w:b/>
                <w:bCs/>
                <w:color w:val="000000"/>
                <w:sz w:val="20"/>
                <w:szCs w:val="20"/>
              </w:rPr>
            </w:pPr>
            <w:r w:rsidRPr="003943C2">
              <w:rPr>
                <w:rFonts w:ascii="Garamond" w:hAnsi="Garamond"/>
                <w:b/>
                <w:bCs/>
                <w:color w:val="000000"/>
                <w:sz w:val="20"/>
                <w:szCs w:val="20"/>
              </w:rPr>
              <w:t>3,2</w:t>
            </w:r>
          </w:p>
        </w:tc>
        <w:tc>
          <w:tcPr>
            <w:tcW w:w="1559" w:type="dxa"/>
            <w:shd w:val="clear" w:color="auto" w:fill="auto"/>
            <w:noWrap/>
            <w:vAlign w:val="center"/>
            <w:hideMark/>
          </w:tcPr>
          <w:p w:rsidR="00D77B0E" w:rsidRPr="003943C2" w:rsidRDefault="00D77B0E" w:rsidP="00D73F13">
            <w:pPr>
              <w:jc w:val="center"/>
              <w:rPr>
                <w:rFonts w:ascii="Garamond" w:hAnsi="Garamond"/>
                <w:b/>
                <w:bCs/>
                <w:color w:val="000000"/>
                <w:sz w:val="20"/>
                <w:szCs w:val="20"/>
              </w:rPr>
            </w:pPr>
            <w:r w:rsidRPr="003943C2">
              <w:rPr>
                <w:rFonts w:ascii="Garamond" w:hAnsi="Garamond"/>
                <w:b/>
                <w:bCs/>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b/>
                <w:bCs/>
                <w:color w:val="000000"/>
                <w:sz w:val="20"/>
                <w:szCs w:val="20"/>
              </w:rPr>
            </w:pPr>
            <w:r w:rsidRPr="003943C2">
              <w:rPr>
                <w:rFonts w:ascii="Garamond" w:hAnsi="Garamond"/>
                <w:b/>
                <w:bCs/>
                <w:color w:val="000000"/>
                <w:sz w:val="20"/>
                <w:szCs w:val="20"/>
              </w:rPr>
              <w:t>-0,7</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Brescia</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-1,2</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2,8</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-0,9</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Pavia</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-1,5</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0,1</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-0,9</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Cremona</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-1,8</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-3,9</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-1,0</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Mantova</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-1,7</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2,6</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0,5</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-1,2</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Lecco</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-1,4</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6,4</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-0,9</w:t>
            </w:r>
          </w:p>
        </w:tc>
      </w:tr>
      <w:tr w:rsidR="00D77B0E" w:rsidRPr="00642AEC" w:rsidTr="00D73F13">
        <w:trPr>
          <w:trHeight w:val="240"/>
        </w:trPr>
        <w:tc>
          <w:tcPr>
            <w:tcW w:w="1402" w:type="dxa"/>
          </w:tcPr>
          <w:p w:rsidR="00D77B0E" w:rsidRPr="003943C2" w:rsidRDefault="00D77B0E" w:rsidP="00D73F13">
            <w:pPr>
              <w:rPr>
                <w:rFonts w:ascii="Garamond" w:hAnsi="Garamond"/>
                <w:color w:val="000000"/>
                <w:sz w:val="20"/>
                <w:szCs w:val="20"/>
              </w:rPr>
            </w:pPr>
            <w:r w:rsidRPr="003943C2">
              <w:rPr>
                <w:rFonts w:ascii="Garamond" w:hAnsi="Garamond"/>
                <w:color w:val="000000"/>
                <w:sz w:val="20"/>
                <w:szCs w:val="20"/>
              </w:rPr>
              <w:t>Lodi</w:t>
            </w:r>
          </w:p>
        </w:tc>
        <w:tc>
          <w:tcPr>
            <w:tcW w:w="1418"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-1,2</w:t>
            </w:r>
          </w:p>
        </w:tc>
        <w:tc>
          <w:tcPr>
            <w:tcW w:w="1136"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-15,2</w:t>
            </w:r>
          </w:p>
        </w:tc>
        <w:tc>
          <w:tcPr>
            <w:tcW w:w="1559"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color w:val="000000"/>
                <w:sz w:val="20"/>
                <w:szCs w:val="20"/>
              </w:rPr>
            </w:pPr>
            <w:r w:rsidRPr="003943C2">
              <w:rPr>
                <w:rFonts w:ascii="Garamond" w:hAnsi="Garamond"/>
                <w:color w:val="000000"/>
                <w:sz w:val="20"/>
                <w:szCs w:val="20"/>
              </w:rPr>
              <w:t>-0,8</w:t>
            </w:r>
          </w:p>
        </w:tc>
      </w:tr>
      <w:tr w:rsidR="00D77B0E" w:rsidRPr="00642AEC" w:rsidTr="00D73F13">
        <w:trPr>
          <w:trHeight w:val="240"/>
        </w:trPr>
        <w:tc>
          <w:tcPr>
            <w:tcW w:w="1402" w:type="dxa"/>
          </w:tcPr>
          <w:p w:rsidR="00D77B0E" w:rsidRPr="003943C2" w:rsidRDefault="00D77B0E" w:rsidP="00D73F13">
            <w:pPr>
              <w:rPr>
                <w:rFonts w:ascii="Garamond" w:hAnsi="Garamond"/>
                <w:b/>
                <w:bCs/>
                <w:color w:val="000000"/>
                <w:sz w:val="20"/>
                <w:szCs w:val="20"/>
              </w:rPr>
            </w:pPr>
            <w:r w:rsidRPr="003943C2">
              <w:rPr>
                <w:rFonts w:ascii="Garamond" w:hAnsi="Garamond"/>
                <w:b/>
                <w:bCs/>
                <w:color w:val="000000"/>
                <w:sz w:val="20"/>
                <w:szCs w:val="20"/>
              </w:rPr>
              <w:t>Lombardia</w:t>
            </w:r>
          </w:p>
        </w:tc>
        <w:tc>
          <w:tcPr>
            <w:tcW w:w="1418" w:type="dxa"/>
            <w:shd w:val="clear" w:color="auto" w:fill="auto"/>
            <w:noWrap/>
            <w:vAlign w:val="center"/>
            <w:hideMark/>
          </w:tcPr>
          <w:p w:rsidR="00D77B0E" w:rsidRPr="003943C2" w:rsidRDefault="00D77B0E" w:rsidP="00D73F13">
            <w:pPr>
              <w:jc w:val="center"/>
              <w:rPr>
                <w:rFonts w:ascii="Garamond" w:hAnsi="Garamond"/>
                <w:b/>
                <w:bCs/>
                <w:color w:val="000000"/>
                <w:sz w:val="20"/>
                <w:szCs w:val="20"/>
              </w:rPr>
            </w:pPr>
            <w:r w:rsidRPr="003943C2">
              <w:rPr>
                <w:rFonts w:ascii="Garamond" w:hAnsi="Garamond"/>
                <w:b/>
                <w:bCs/>
                <w:color w:val="000000"/>
                <w:sz w:val="20"/>
                <w:szCs w:val="20"/>
              </w:rPr>
              <w:t>-1,0</w:t>
            </w:r>
          </w:p>
        </w:tc>
        <w:tc>
          <w:tcPr>
            <w:tcW w:w="1136" w:type="dxa"/>
            <w:shd w:val="clear" w:color="auto" w:fill="auto"/>
            <w:noWrap/>
            <w:vAlign w:val="center"/>
            <w:hideMark/>
          </w:tcPr>
          <w:p w:rsidR="00D77B0E" w:rsidRPr="003943C2" w:rsidRDefault="00D77B0E" w:rsidP="00D73F13">
            <w:pPr>
              <w:jc w:val="center"/>
              <w:rPr>
                <w:rFonts w:ascii="Garamond" w:hAnsi="Garamond"/>
                <w:b/>
                <w:bCs/>
                <w:color w:val="000000"/>
                <w:sz w:val="20"/>
                <w:szCs w:val="20"/>
              </w:rPr>
            </w:pPr>
            <w:r w:rsidRPr="003943C2">
              <w:rPr>
                <w:rFonts w:ascii="Garamond" w:hAnsi="Garamond"/>
                <w:b/>
                <w:bCs/>
                <w:color w:val="000000"/>
                <w:sz w:val="20"/>
                <w:szCs w:val="20"/>
              </w:rPr>
              <w:t>3,6</w:t>
            </w:r>
          </w:p>
        </w:tc>
        <w:tc>
          <w:tcPr>
            <w:tcW w:w="1559" w:type="dxa"/>
            <w:shd w:val="clear" w:color="auto" w:fill="auto"/>
            <w:noWrap/>
            <w:vAlign w:val="center"/>
            <w:hideMark/>
          </w:tcPr>
          <w:p w:rsidR="00D77B0E" w:rsidRPr="003943C2" w:rsidRDefault="00D77B0E" w:rsidP="00D73F13">
            <w:pPr>
              <w:jc w:val="center"/>
              <w:rPr>
                <w:rFonts w:ascii="Garamond" w:hAnsi="Garamond"/>
                <w:b/>
                <w:bCs/>
                <w:color w:val="000000"/>
                <w:sz w:val="20"/>
                <w:szCs w:val="20"/>
              </w:rPr>
            </w:pPr>
            <w:r w:rsidRPr="003943C2">
              <w:rPr>
                <w:rFonts w:ascii="Garamond" w:hAnsi="Garamond"/>
                <w:b/>
                <w:bCs/>
                <w:color w:val="000000"/>
                <w:sz w:val="20"/>
                <w:szCs w:val="20"/>
              </w:rPr>
              <w:t>0,6</w:t>
            </w:r>
          </w:p>
        </w:tc>
        <w:tc>
          <w:tcPr>
            <w:tcW w:w="1163" w:type="dxa"/>
            <w:shd w:val="clear" w:color="auto" w:fill="auto"/>
            <w:noWrap/>
            <w:vAlign w:val="center"/>
            <w:hideMark/>
          </w:tcPr>
          <w:p w:rsidR="00D77B0E" w:rsidRPr="003943C2" w:rsidRDefault="00D77B0E" w:rsidP="00D73F13">
            <w:pPr>
              <w:jc w:val="center"/>
              <w:rPr>
                <w:rFonts w:ascii="Garamond" w:hAnsi="Garamond"/>
                <w:b/>
                <w:bCs/>
                <w:color w:val="000000"/>
                <w:sz w:val="20"/>
                <w:szCs w:val="20"/>
              </w:rPr>
            </w:pPr>
            <w:r w:rsidRPr="003943C2">
              <w:rPr>
                <w:rFonts w:ascii="Garamond" w:hAnsi="Garamond"/>
                <w:b/>
                <w:bCs/>
                <w:color w:val="000000"/>
                <w:sz w:val="20"/>
                <w:szCs w:val="20"/>
              </w:rPr>
              <w:t>-0,7</w:t>
            </w:r>
          </w:p>
        </w:tc>
      </w:tr>
    </w:tbl>
    <w:p w:rsidR="00D77B0E" w:rsidRPr="00856935" w:rsidRDefault="00D77B0E" w:rsidP="00D77B0E">
      <w:pPr>
        <w:jc w:val="both"/>
        <w:rPr>
          <w:rFonts w:ascii="Garamond" w:hAnsi="Garamond"/>
          <w:i/>
          <w:iCs/>
          <w:color w:val="000000"/>
          <w:sz w:val="20"/>
          <w:szCs w:val="20"/>
        </w:rPr>
      </w:pPr>
      <w:r w:rsidRPr="00856935">
        <w:rPr>
          <w:rFonts w:ascii="Garamond" w:hAnsi="Garamond"/>
          <w:i/>
          <w:iCs/>
          <w:color w:val="000000"/>
          <w:sz w:val="20"/>
          <w:szCs w:val="20"/>
        </w:rPr>
        <w:t>Fonte: Unioncamere - Prometeia, Scenari di sviluppo delle economie locali italiane 2011-2015 (giugno 2013)</w:t>
      </w:r>
    </w:p>
    <w:p w:rsidR="00D77B0E" w:rsidRDefault="00D77B0E" w:rsidP="00D77B0E">
      <w:pPr>
        <w:jc w:val="both"/>
        <w:rPr>
          <w:rFonts w:ascii="Garamond" w:hAnsi="Garamond"/>
          <w:b/>
          <w:bCs/>
          <w:color w:val="000000"/>
          <w:sz w:val="20"/>
          <w:szCs w:val="20"/>
        </w:rPr>
      </w:pPr>
    </w:p>
    <w:p w:rsidR="00D77B0E" w:rsidRDefault="00D77B0E" w:rsidP="00D77B0E">
      <w:pPr>
        <w:autoSpaceDE w:val="0"/>
        <w:autoSpaceDN w:val="0"/>
        <w:adjustRightInd w:val="0"/>
        <w:spacing w:line="360" w:lineRule="auto"/>
        <w:jc w:val="both"/>
        <w:rPr>
          <w:bCs/>
          <w:color w:val="000000"/>
        </w:rPr>
      </w:pPr>
    </w:p>
    <w:p w:rsidR="00D77B0E" w:rsidRDefault="00D77B0E" w:rsidP="00D77B0E">
      <w:pPr>
        <w:autoSpaceDE w:val="0"/>
        <w:autoSpaceDN w:val="0"/>
        <w:adjustRightInd w:val="0"/>
        <w:spacing w:line="360" w:lineRule="auto"/>
        <w:jc w:val="both"/>
        <w:rPr>
          <w:bCs/>
          <w:color w:val="000000"/>
        </w:rPr>
      </w:pPr>
      <w:r>
        <w:rPr>
          <w:bCs/>
          <w:color w:val="000000"/>
        </w:rPr>
        <w:t xml:space="preserve">I dati congiunturali descrivono con toni pessimistici le recenti dinamiche produttive e occupazionali che riguardano la bergamasca. </w:t>
      </w:r>
    </w:p>
    <w:p w:rsidR="00D77B0E" w:rsidRDefault="00D77B0E" w:rsidP="00D77B0E">
      <w:pPr>
        <w:autoSpaceDE w:val="0"/>
        <w:autoSpaceDN w:val="0"/>
        <w:adjustRightInd w:val="0"/>
        <w:spacing w:line="360" w:lineRule="auto"/>
        <w:jc w:val="both"/>
        <w:rPr>
          <w:bCs/>
          <w:color w:val="000000"/>
        </w:rPr>
      </w:pPr>
      <w:r w:rsidRPr="00A223CE">
        <w:rPr>
          <w:bCs/>
          <w:color w:val="000000"/>
        </w:rPr>
        <w:t>In base a</w:t>
      </w:r>
      <w:r>
        <w:rPr>
          <w:bCs/>
          <w:color w:val="000000"/>
        </w:rPr>
        <w:t>lle informazioni</w:t>
      </w:r>
      <w:r w:rsidRPr="00A223CE">
        <w:rPr>
          <w:bCs/>
          <w:color w:val="000000"/>
        </w:rPr>
        <w:t xml:space="preserve"> elaborat</w:t>
      </w:r>
      <w:r>
        <w:rPr>
          <w:bCs/>
          <w:color w:val="000000"/>
        </w:rPr>
        <w:t>e</w:t>
      </w:r>
      <w:r w:rsidRPr="00A223CE">
        <w:rPr>
          <w:bCs/>
          <w:color w:val="000000"/>
        </w:rPr>
        <w:t xml:space="preserve"> da Unioncamere Lombardia, a marzo 2013 nella provincia di </w:t>
      </w:r>
      <w:r>
        <w:rPr>
          <w:bCs/>
          <w:color w:val="000000"/>
        </w:rPr>
        <w:t>Bergamo</w:t>
      </w:r>
      <w:r w:rsidRPr="00A223CE">
        <w:rPr>
          <w:bCs/>
          <w:color w:val="000000"/>
        </w:rPr>
        <w:t xml:space="preserve"> la produzione industriale ha accusato un calo del 4,</w:t>
      </w:r>
      <w:r>
        <w:rPr>
          <w:bCs/>
          <w:color w:val="000000"/>
        </w:rPr>
        <w:t>5</w:t>
      </w:r>
      <w:r w:rsidRPr="00A223CE">
        <w:rPr>
          <w:bCs/>
          <w:color w:val="000000"/>
        </w:rPr>
        <w:t>% rispetto al primi tre mesi del 2012 (a fronte del – 3,4% a livello regionale e del calo molto più contenuto</w:t>
      </w:r>
      <w:r>
        <w:rPr>
          <w:bCs/>
          <w:color w:val="000000"/>
        </w:rPr>
        <w:t xml:space="preserve"> registrato nella  maggior parte delle province, fatta eccezione per Milano e Sondrio); </w:t>
      </w:r>
      <w:r>
        <w:rPr>
          <w:color w:val="000000"/>
        </w:rPr>
        <w:t xml:space="preserve">il </w:t>
      </w:r>
      <w:r w:rsidRPr="00A223CE">
        <w:rPr>
          <w:bCs/>
          <w:color w:val="000000"/>
        </w:rPr>
        <w:t xml:space="preserve">fatturato </w:t>
      </w:r>
      <w:r>
        <w:rPr>
          <w:bCs/>
          <w:color w:val="000000"/>
        </w:rPr>
        <w:t>è diminuito dell’1,4% (sempre su base annua) e anche gli ordini esteri hanno fatto segnare una flessione significativa (pari al 2</w:t>
      </w:r>
      <w:r w:rsidRPr="00A223CE">
        <w:rPr>
          <w:bCs/>
          <w:color w:val="000000"/>
        </w:rPr>
        <w:t>,</w:t>
      </w:r>
      <w:r>
        <w:rPr>
          <w:bCs/>
          <w:color w:val="000000"/>
        </w:rPr>
        <w:t>6</w:t>
      </w:r>
      <w:r w:rsidRPr="00A223CE">
        <w:rPr>
          <w:bCs/>
          <w:color w:val="000000"/>
        </w:rPr>
        <w:t>%</w:t>
      </w:r>
      <w:r>
        <w:rPr>
          <w:bCs/>
          <w:color w:val="000000"/>
        </w:rPr>
        <w:t>), a fronte del dato positivo registrato relativamente agli ordini interni (-0,5%).</w:t>
      </w:r>
    </w:p>
    <w:p w:rsidR="00D77B0E" w:rsidRPr="00D5107C" w:rsidRDefault="00D77B0E" w:rsidP="00D77B0E">
      <w:pPr>
        <w:autoSpaceDE w:val="0"/>
        <w:autoSpaceDN w:val="0"/>
        <w:adjustRightInd w:val="0"/>
        <w:spacing w:line="360" w:lineRule="auto"/>
        <w:jc w:val="both"/>
        <w:rPr>
          <w:rFonts w:eastAsiaTheme="minorHAnsi"/>
          <w:lang w:eastAsia="en-US"/>
        </w:rPr>
      </w:pPr>
      <w:r w:rsidRPr="00A223CE">
        <w:rPr>
          <w:bCs/>
          <w:color w:val="000000"/>
        </w:rPr>
        <w:t xml:space="preserve">La struttura produttiva mostra difficoltà enormi, tuttavia presenta ancora un tessuto organizzato, caratterizzato dalla presenza di un buon numero di imprese complesse e orientate fortemente all’export, all’innovazione e alla ricerca. I dati congiunturali </w:t>
      </w:r>
      <w:r>
        <w:rPr>
          <w:bCs/>
          <w:color w:val="000000"/>
        </w:rPr>
        <w:t xml:space="preserve">e dei diversi rapporti economici (Camera di Commercio, Provincia di Bergamo) </w:t>
      </w:r>
      <w:r w:rsidRPr="00A223CE">
        <w:rPr>
          <w:bCs/>
          <w:color w:val="000000"/>
        </w:rPr>
        <w:t xml:space="preserve">evidenziano come </w:t>
      </w:r>
      <w:r w:rsidRPr="00D5107C">
        <w:rPr>
          <w:rFonts w:eastAsiaTheme="minorHAnsi"/>
          <w:lang w:eastAsia="en-US"/>
        </w:rPr>
        <w:t xml:space="preserve">la diffusa imprenditorialità della popolazione </w:t>
      </w:r>
      <w:r w:rsidR="00804DF0">
        <w:rPr>
          <w:rFonts w:eastAsiaTheme="minorHAnsi"/>
          <w:lang w:eastAsia="en-US"/>
        </w:rPr>
        <w:t xml:space="preserve">bergamasca </w:t>
      </w:r>
      <w:r w:rsidRPr="00A223CE">
        <w:rPr>
          <w:rFonts w:eastAsiaTheme="minorHAnsi"/>
          <w:lang w:eastAsia="en-US"/>
        </w:rPr>
        <w:t xml:space="preserve">non risulta penalizzata dalla crisi alla stregua di altri territori. </w:t>
      </w:r>
    </w:p>
    <w:p w:rsidR="00D77B0E" w:rsidRDefault="00D77B0E" w:rsidP="00D77B0E">
      <w:pPr>
        <w:spacing w:line="360" w:lineRule="auto"/>
        <w:jc w:val="both"/>
      </w:pPr>
      <w:r w:rsidRPr="000F56E0">
        <w:t>La dinamica appena descritta risulta sintomatica rispetto alle più evidenti difficoltà del mercato del lavoro. In base ai dati elaborati dall</w:t>
      </w:r>
      <w:r>
        <w:t>a Camera di Commercio di Bergamo</w:t>
      </w:r>
      <w:r w:rsidRPr="000F56E0">
        <w:t xml:space="preserve">, nel periodo 2008 – 2012 </w:t>
      </w:r>
      <w:r w:rsidRPr="000F56E0">
        <w:lastRenderedPageBreak/>
        <w:t xml:space="preserve">l’occupazione a livello provinciale </w:t>
      </w:r>
      <w:r>
        <w:t xml:space="preserve">ha </w:t>
      </w:r>
      <w:r w:rsidRPr="000F56E0">
        <w:t xml:space="preserve">perso circa </w:t>
      </w:r>
      <w:r>
        <w:t>14 mila</w:t>
      </w:r>
      <w:r w:rsidRPr="000F56E0">
        <w:t xml:space="preserve"> occupati, con un riduzione del tasso di occupazione </w:t>
      </w:r>
      <w:r>
        <w:t>di</w:t>
      </w:r>
      <w:r w:rsidRPr="000F56E0">
        <w:t xml:space="preserve"> 3,</w:t>
      </w:r>
      <w:r>
        <w:t>2</w:t>
      </w:r>
      <w:r w:rsidRPr="000F56E0">
        <w:t xml:space="preserve"> punti percentuali (dal 6</w:t>
      </w:r>
      <w:r>
        <w:t>5</w:t>
      </w:r>
      <w:r w:rsidRPr="000F56E0">
        <w:t>% al 6</w:t>
      </w:r>
      <w:r>
        <w:t>1</w:t>
      </w:r>
      <w:r w:rsidRPr="000F56E0">
        <w:t>,</w:t>
      </w:r>
      <w:r>
        <w:t>8</w:t>
      </w:r>
      <w:r w:rsidRPr="000F56E0">
        <w:t xml:space="preserve">%). </w:t>
      </w:r>
    </w:p>
    <w:p w:rsidR="00D77B0E" w:rsidRDefault="00D77B0E" w:rsidP="00D77B0E">
      <w:pPr>
        <w:spacing w:line="360" w:lineRule="auto"/>
        <w:jc w:val="both"/>
      </w:pPr>
      <w:r>
        <w:t>Al dato ufficiale sul calo dell’occupazione occorre aggiungere il trend in forte crescita degli ammortizzatori sociali. Infatti, in base alle recenti statistiche elaborate da Unioncamere Lombardia/Irs, nel IV trimestre 2012 l’incidenza dei lavoratori in cassa integrazione (equivalenti a 0 ore corretti per il tiraggio) e in mobilità sul totale dell’occupazione dipendente a livello provinciale, era pari a ben il 5,2% a fronte del 4% registrato complessivamente in Lombardia.</w:t>
      </w:r>
    </w:p>
    <w:p w:rsidR="00D77B0E" w:rsidRPr="000F56E0" w:rsidRDefault="00D77B0E" w:rsidP="00D77B0E">
      <w:pPr>
        <w:spacing w:line="360" w:lineRule="auto"/>
        <w:jc w:val="both"/>
      </w:pPr>
      <w:r w:rsidRPr="000F56E0">
        <w:t xml:space="preserve">Il tasso di disoccupazione raggiunge nella provincia di </w:t>
      </w:r>
      <w:r>
        <w:t>Bergamo</w:t>
      </w:r>
      <w:r w:rsidRPr="000F56E0">
        <w:t xml:space="preserve"> il 6,8%</w:t>
      </w:r>
      <w:r>
        <w:t xml:space="preserve"> </w:t>
      </w:r>
      <w:r w:rsidRPr="000F56E0">
        <w:t>nel 2012,</w:t>
      </w:r>
      <w:r>
        <w:t xml:space="preserve"> a fronte del 3% del 2008, anno “pre-crisi”. </w:t>
      </w:r>
    </w:p>
    <w:p w:rsidR="00D77B0E" w:rsidRDefault="00D77B0E" w:rsidP="00D77B0E">
      <w:pPr>
        <w:rPr>
          <w:rFonts w:asciiTheme="majorHAnsi" w:hAnsiTheme="majorHAnsi"/>
          <w:sz w:val="22"/>
          <w:szCs w:val="22"/>
        </w:rPr>
      </w:pPr>
    </w:p>
    <w:p w:rsidR="00D77B0E" w:rsidRPr="00C64E62" w:rsidRDefault="00D77B0E" w:rsidP="00D77B0E">
      <w:pPr>
        <w:rPr>
          <w:rFonts w:ascii="Garamond" w:hAnsi="Garamond"/>
          <w:b/>
          <w:sz w:val="20"/>
          <w:szCs w:val="20"/>
        </w:rPr>
      </w:pPr>
      <w:r w:rsidRPr="00C64E62">
        <w:rPr>
          <w:rFonts w:ascii="Garamond" w:hAnsi="Garamond"/>
          <w:b/>
          <w:sz w:val="20"/>
          <w:szCs w:val="20"/>
        </w:rPr>
        <w:t xml:space="preserve">Indicatori sulle forze lavoro </w:t>
      </w:r>
      <w:r>
        <w:rPr>
          <w:rFonts w:ascii="Garamond" w:hAnsi="Garamond"/>
          <w:b/>
          <w:sz w:val="20"/>
          <w:szCs w:val="20"/>
        </w:rPr>
        <w:t>in provincia di Bergamo</w:t>
      </w:r>
    </w:p>
    <w:p w:rsidR="00D77B0E" w:rsidRDefault="00D77B0E" w:rsidP="00D77B0E">
      <w:pPr>
        <w:rPr>
          <w:rFonts w:asciiTheme="majorHAnsi" w:hAnsiTheme="majorHAnsi"/>
          <w:sz w:val="22"/>
          <w:szCs w:val="22"/>
        </w:rPr>
      </w:pPr>
    </w:p>
    <w:tbl>
      <w:tblPr>
        <w:tblW w:w="9120" w:type="dxa"/>
        <w:tblInd w:w="55" w:type="dxa"/>
        <w:tblCellMar>
          <w:left w:w="70" w:type="dxa"/>
          <w:right w:w="70" w:type="dxa"/>
        </w:tblCellMar>
        <w:tblLook w:val="04A0"/>
      </w:tblPr>
      <w:tblGrid>
        <w:gridCol w:w="4320"/>
        <w:gridCol w:w="960"/>
        <w:gridCol w:w="960"/>
        <w:gridCol w:w="960"/>
        <w:gridCol w:w="960"/>
        <w:gridCol w:w="960"/>
      </w:tblGrid>
      <w:tr w:rsidR="00D77B0E" w:rsidRPr="00C64E62" w:rsidTr="00D73F13">
        <w:trPr>
          <w:trHeight w:val="300"/>
        </w:trPr>
        <w:tc>
          <w:tcPr>
            <w:tcW w:w="43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Valori medi annui (migliaia)</w:t>
            </w:r>
          </w:p>
        </w:tc>
        <w:tc>
          <w:tcPr>
            <w:tcW w:w="960" w:type="dxa"/>
            <w:tcBorders>
              <w:top w:val="single" w:sz="8" w:space="0" w:color="auto"/>
              <w:left w:val="nil"/>
              <w:bottom w:val="single" w:sz="4" w:space="0" w:color="auto"/>
              <w:right w:val="single" w:sz="4" w:space="0" w:color="auto"/>
            </w:tcBorders>
            <w:shd w:val="clear" w:color="000000" w:fill="FFFFFF"/>
            <w:noWrap/>
            <w:vAlign w:val="bottom"/>
            <w:hideMark/>
          </w:tcPr>
          <w:p w:rsidR="00D77B0E" w:rsidRPr="00C64E62" w:rsidRDefault="00D77B0E" w:rsidP="00D73F13">
            <w:pPr>
              <w:jc w:val="center"/>
              <w:rPr>
                <w:rFonts w:ascii="Garamond" w:hAnsi="Garamond"/>
                <w:b/>
                <w:bCs/>
                <w:sz w:val="20"/>
                <w:szCs w:val="20"/>
              </w:rPr>
            </w:pPr>
            <w:r w:rsidRPr="00C64E62">
              <w:rPr>
                <w:rFonts w:ascii="Garamond" w:hAnsi="Garamond"/>
                <w:b/>
                <w:bCs/>
                <w:sz w:val="20"/>
                <w:szCs w:val="20"/>
              </w:rPr>
              <w:t>2008</w:t>
            </w:r>
          </w:p>
        </w:tc>
        <w:tc>
          <w:tcPr>
            <w:tcW w:w="960" w:type="dxa"/>
            <w:tcBorders>
              <w:top w:val="single" w:sz="8" w:space="0" w:color="auto"/>
              <w:left w:val="nil"/>
              <w:bottom w:val="single" w:sz="4" w:space="0" w:color="auto"/>
              <w:right w:val="single" w:sz="4" w:space="0" w:color="auto"/>
            </w:tcBorders>
            <w:shd w:val="clear" w:color="000000" w:fill="FFFFFF"/>
            <w:noWrap/>
            <w:vAlign w:val="bottom"/>
            <w:hideMark/>
          </w:tcPr>
          <w:p w:rsidR="00D77B0E" w:rsidRPr="00C64E62" w:rsidRDefault="00D77B0E" w:rsidP="00D73F13">
            <w:pPr>
              <w:jc w:val="center"/>
              <w:rPr>
                <w:rFonts w:ascii="Garamond" w:hAnsi="Garamond"/>
                <w:b/>
                <w:bCs/>
                <w:sz w:val="20"/>
                <w:szCs w:val="20"/>
              </w:rPr>
            </w:pPr>
            <w:r w:rsidRPr="00C64E62">
              <w:rPr>
                <w:rFonts w:ascii="Garamond" w:hAnsi="Garamond"/>
                <w:b/>
                <w:bCs/>
                <w:sz w:val="20"/>
                <w:szCs w:val="20"/>
              </w:rPr>
              <w:t>2009</w:t>
            </w:r>
          </w:p>
        </w:tc>
        <w:tc>
          <w:tcPr>
            <w:tcW w:w="960" w:type="dxa"/>
            <w:tcBorders>
              <w:top w:val="single" w:sz="8" w:space="0" w:color="auto"/>
              <w:left w:val="nil"/>
              <w:bottom w:val="single" w:sz="4" w:space="0" w:color="auto"/>
              <w:right w:val="single" w:sz="4" w:space="0" w:color="auto"/>
            </w:tcBorders>
            <w:shd w:val="clear" w:color="000000" w:fill="FFFFFF"/>
            <w:noWrap/>
            <w:vAlign w:val="bottom"/>
            <w:hideMark/>
          </w:tcPr>
          <w:p w:rsidR="00D77B0E" w:rsidRPr="00C64E62" w:rsidRDefault="00D77B0E" w:rsidP="00D73F13">
            <w:pPr>
              <w:jc w:val="center"/>
              <w:rPr>
                <w:rFonts w:ascii="Garamond" w:hAnsi="Garamond"/>
                <w:b/>
                <w:bCs/>
                <w:sz w:val="20"/>
                <w:szCs w:val="20"/>
              </w:rPr>
            </w:pPr>
            <w:r w:rsidRPr="00C64E62">
              <w:rPr>
                <w:rFonts w:ascii="Garamond" w:hAnsi="Garamond"/>
                <w:b/>
                <w:bCs/>
                <w:sz w:val="20"/>
                <w:szCs w:val="20"/>
              </w:rPr>
              <w:t>2010</w:t>
            </w:r>
          </w:p>
        </w:tc>
        <w:tc>
          <w:tcPr>
            <w:tcW w:w="960" w:type="dxa"/>
            <w:tcBorders>
              <w:top w:val="single" w:sz="8" w:space="0" w:color="auto"/>
              <w:left w:val="nil"/>
              <w:bottom w:val="single" w:sz="4" w:space="0" w:color="auto"/>
              <w:right w:val="single" w:sz="4" w:space="0" w:color="auto"/>
            </w:tcBorders>
            <w:shd w:val="clear" w:color="000000" w:fill="FFFFFF"/>
            <w:noWrap/>
            <w:vAlign w:val="bottom"/>
            <w:hideMark/>
          </w:tcPr>
          <w:p w:rsidR="00D77B0E" w:rsidRPr="00C64E62" w:rsidRDefault="00D77B0E" w:rsidP="00D73F13">
            <w:pPr>
              <w:jc w:val="center"/>
              <w:rPr>
                <w:rFonts w:ascii="Garamond" w:hAnsi="Garamond"/>
                <w:b/>
                <w:bCs/>
                <w:sz w:val="20"/>
                <w:szCs w:val="20"/>
              </w:rPr>
            </w:pPr>
            <w:r w:rsidRPr="00C64E62">
              <w:rPr>
                <w:rFonts w:ascii="Garamond" w:hAnsi="Garamond"/>
                <w:b/>
                <w:bCs/>
                <w:sz w:val="20"/>
                <w:szCs w:val="20"/>
              </w:rPr>
              <w:t>2011</w:t>
            </w:r>
          </w:p>
        </w:tc>
        <w:tc>
          <w:tcPr>
            <w:tcW w:w="960" w:type="dxa"/>
            <w:tcBorders>
              <w:top w:val="single" w:sz="8" w:space="0" w:color="auto"/>
              <w:left w:val="nil"/>
              <w:bottom w:val="single" w:sz="4" w:space="0" w:color="auto"/>
              <w:right w:val="single" w:sz="8" w:space="0" w:color="auto"/>
            </w:tcBorders>
            <w:shd w:val="clear" w:color="000000" w:fill="FFFFFF"/>
            <w:noWrap/>
            <w:vAlign w:val="bottom"/>
            <w:hideMark/>
          </w:tcPr>
          <w:p w:rsidR="00D77B0E" w:rsidRPr="00C64E62" w:rsidRDefault="00D77B0E" w:rsidP="00D73F13">
            <w:pPr>
              <w:jc w:val="center"/>
              <w:rPr>
                <w:rFonts w:ascii="Garamond" w:hAnsi="Garamond"/>
                <w:b/>
                <w:bCs/>
                <w:sz w:val="20"/>
                <w:szCs w:val="20"/>
              </w:rPr>
            </w:pPr>
            <w:r w:rsidRPr="00C64E62">
              <w:rPr>
                <w:rFonts w:ascii="Garamond" w:hAnsi="Garamond"/>
                <w:b/>
                <w:bCs/>
                <w:sz w:val="20"/>
                <w:szCs w:val="20"/>
              </w:rPr>
              <w:t>2012</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cente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center"/>
              <w:rPr>
                <w:rFonts w:ascii="Garamond" w:hAnsi="Garamond"/>
                <w:sz w:val="20"/>
                <w:szCs w:val="20"/>
              </w:rPr>
            </w:pPr>
            <w:r w:rsidRPr="00C64E62">
              <w:rPr>
                <w:rFonts w:ascii="Garamond" w:hAnsi="Garamond"/>
                <w:sz w:val="20"/>
                <w:szCs w:val="20"/>
              </w:rPr>
              <w:t> </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Occupati</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469,1</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469,0</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468,2</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467,3</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455,7</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In cerca di occupazione</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14,7</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18,0</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18,2</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20,2</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33,5</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Inattivi (15-64 anni)</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234,9</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238,5</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244,8</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248,4</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245,9</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Forze Lavoro</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483,8</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487,0</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486,4</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487,5</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489,2</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Popolazione (15-64 anni)</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712,7</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720,9</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726,2</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730,9</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731,3</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Tassi specifici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cente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cente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cente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cente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center"/>
              <w:rPr>
                <w:rFonts w:ascii="Garamond" w:hAnsi="Garamond"/>
                <w:sz w:val="20"/>
                <w:szCs w:val="20"/>
              </w:rPr>
            </w:pPr>
            <w:r w:rsidRPr="00C64E62">
              <w:rPr>
                <w:rFonts w:ascii="Garamond" w:hAnsi="Garamond"/>
                <w:sz w:val="20"/>
                <w:szCs w:val="20"/>
              </w:rPr>
              <w:t> </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Tasso di attività (15-64 anni)</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67,0</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66,9</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66,3</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66,0</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66,4</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Tasso di occupazione (15-64 anni)</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65,0</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64,4</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63,8</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63,3</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61,8</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Tasso di inattività (15-64 anni)</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33,0</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33,1</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33,7</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34,0</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33,6</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Tasso di disoccupazione (su Forze lavoro)</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3,7</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3,7</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4,1</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6,8</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 </w:t>
            </w:r>
          </w:p>
        </w:tc>
      </w:tr>
      <w:tr w:rsidR="00D77B0E" w:rsidRPr="00C64E62" w:rsidTr="00D73F13">
        <w:trPr>
          <w:trHeight w:val="300"/>
        </w:trPr>
        <w:tc>
          <w:tcPr>
            <w:tcW w:w="4320" w:type="dxa"/>
            <w:tcBorders>
              <w:top w:val="nil"/>
              <w:left w:val="single" w:sz="8" w:space="0" w:color="auto"/>
              <w:bottom w:val="single" w:sz="4" w:space="0" w:color="auto"/>
              <w:right w:val="single" w:sz="4" w:space="0" w:color="auto"/>
            </w:tcBorders>
            <w:shd w:val="clear" w:color="000000" w:fill="FFFFFF"/>
            <w:noWrap/>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Tasso di attività (15-24 anni)</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40,2</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39,8</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32,3</w:t>
            </w:r>
          </w:p>
        </w:tc>
        <w:tc>
          <w:tcPr>
            <w:tcW w:w="960" w:type="dxa"/>
            <w:tcBorders>
              <w:top w:val="nil"/>
              <w:left w:val="nil"/>
              <w:bottom w:val="single" w:sz="4"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31,8</w:t>
            </w:r>
          </w:p>
        </w:tc>
        <w:tc>
          <w:tcPr>
            <w:tcW w:w="960" w:type="dxa"/>
            <w:tcBorders>
              <w:top w:val="nil"/>
              <w:left w:val="nil"/>
              <w:bottom w:val="single" w:sz="4"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32,6</w:t>
            </w:r>
          </w:p>
        </w:tc>
      </w:tr>
      <w:tr w:rsidR="00D77B0E" w:rsidRPr="00C64E62" w:rsidTr="00D73F13">
        <w:trPr>
          <w:trHeight w:val="315"/>
        </w:trPr>
        <w:tc>
          <w:tcPr>
            <w:tcW w:w="4320" w:type="dxa"/>
            <w:tcBorders>
              <w:top w:val="nil"/>
              <w:left w:val="single" w:sz="8" w:space="0" w:color="auto"/>
              <w:bottom w:val="single" w:sz="8" w:space="0" w:color="auto"/>
              <w:right w:val="single" w:sz="4" w:space="0" w:color="auto"/>
            </w:tcBorders>
            <w:shd w:val="clear" w:color="000000" w:fill="FFFFFF"/>
            <w:vAlign w:val="bottom"/>
            <w:hideMark/>
          </w:tcPr>
          <w:p w:rsidR="00D77B0E" w:rsidRPr="00C64E62" w:rsidRDefault="00D77B0E" w:rsidP="00D73F13">
            <w:pPr>
              <w:rPr>
                <w:rFonts w:ascii="Garamond" w:hAnsi="Garamond"/>
                <w:sz w:val="20"/>
                <w:szCs w:val="20"/>
              </w:rPr>
            </w:pPr>
            <w:r w:rsidRPr="00C64E62">
              <w:rPr>
                <w:rFonts w:ascii="Garamond" w:hAnsi="Garamond"/>
                <w:sz w:val="20"/>
                <w:szCs w:val="20"/>
              </w:rPr>
              <w:t>Tasso di disoccupazione (15-24 anni)</w:t>
            </w:r>
          </w:p>
        </w:tc>
        <w:tc>
          <w:tcPr>
            <w:tcW w:w="960" w:type="dxa"/>
            <w:tcBorders>
              <w:top w:val="nil"/>
              <w:left w:val="nil"/>
              <w:bottom w:val="single" w:sz="8"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8,5</w:t>
            </w:r>
          </w:p>
        </w:tc>
        <w:tc>
          <w:tcPr>
            <w:tcW w:w="960" w:type="dxa"/>
            <w:tcBorders>
              <w:top w:val="nil"/>
              <w:left w:val="nil"/>
              <w:bottom w:val="single" w:sz="8"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11,6</w:t>
            </w:r>
          </w:p>
        </w:tc>
        <w:tc>
          <w:tcPr>
            <w:tcW w:w="960" w:type="dxa"/>
            <w:tcBorders>
              <w:top w:val="nil"/>
              <w:left w:val="nil"/>
              <w:bottom w:val="single" w:sz="8"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11,9</w:t>
            </w:r>
          </w:p>
        </w:tc>
        <w:tc>
          <w:tcPr>
            <w:tcW w:w="960" w:type="dxa"/>
            <w:tcBorders>
              <w:top w:val="nil"/>
              <w:left w:val="nil"/>
              <w:bottom w:val="single" w:sz="8" w:space="0" w:color="auto"/>
              <w:right w:val="single" w:sz="4"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14,7</w:t>
            </w:r>
          </w:p>
        </w:tc>
        <w:tc>
          <w:tcPr>
            <w:tcW w:w="960" w:type="dxa"/>
            <w:tcBorders>
              <w:top w:val="nil"/>
              <w:left w:val="nil"/>
              <w:bottom w:val="single" w:sz="8" w:space="0" w:color="auto"/>
              <w:right w:val="single" w:sz="8" w:space="0" w:color="auto"/>
            </w:tcBorders>
            <w:shd w:val="clear" w:color="000000" w:fill="FFFFFF"/>
            <w:noWrap/>
            <w:vAlign w:val="bottom"/>
            <w:hideMark/>
          </w:tcPr>
          <w:p w:rsidR="00D77B0E" w:rsidRPr="00C64E62" w:rsidRDefault="00D77B0E" w:rsidP="00D73F13">
            <w:pPr>
              <w:jc w:val="right"/>
              <w:rPr>
                <w:rFonts w:ascii="Garamond" w:hAnsi="Garamond"/>
                <w:sz w:val="20"/>
                <w:szCs w:val="20"/>
              </w:rPr>
            </w:pPr>
            <w:r w:rsidRPr="00C64E62">
              <w:rPr>
                <w:rFonts w:ascii="Garamond" w:hAnsi="Garamond"/>
                <w:sz w:val="20"/>
                <w:szCs w:val="20"/>
              </w:rPr>
              <w:t>24,9</w:t>
            </w:r>
          </w:p>
        </w:tc>
      </w:tr>
    </w:tbl>
    <w:p w:rsidR="00D77B0E" w:rsidRPr="00C64E62" w:rsidRDefault="00D77B0E" w:rsidP="00D77B0E">
      <w:pPr>
        <w:rPr>
          <w:rFonts w:ascii="Garamond" w:hAnsi="Garamond"/>
          <w:sz w:val="20"/>
          <w:szCs w:val="20"/>
        </w:rPr>
      </w:pPr>
      <w:r w:rsidRPr="00C64E62">
        <w:rPr>
          <w:rFonts w:ascii="Garamond" w:hAnsi="Garamond"/>
          <w:sz w:val="20"/>
          <w:szCs w:val="20"/>
        </w:rPr>
        <w:t>Servizio Studi CCIAA di Bergamo su dati ISTAT</w:t>
      </w:r>
    </w:p>
    <w:p w:rsidR="00D77B0E" w:rsidRDefault="00D77B0E" w:rsidP="00D77B0E">
      <w:pPr>
        <w:rPr>
          <w:rFonts w:asciiTheme="majorHAnsi" w:hAnsiTheme="majorHAnsi"/>
          <w:sz w:val="22"/>
          <w:szCs w:val="22"/>
        </w:rPr>
      </w:pPr>
    </w:p>
    <w:p w:rsidR="00D77B0E" w:rsidRPr="000F56E0" w:rsidRDefault="00D77B0E" w:rsidP="00D77B0E">
      <w:pPr>
        <w:spacing w:before="240" w:line="360" w:lineRule="auto"/>
        <w:jc w:val="both"/>
      </w:pPr>
      <w:r>
        <w:t>Più significativo i</w:t>
      </w:r>
      <w:r w:rsidRPr="000F56E0">
        <w:t xml:space="preserve">l dato relativo al tasso di disoccupazione giovanile che </w:t>
      </w:r>
      <w:r>
        <w:t xml:space="preserve">sempre nel 2012 </w:t>
      </w:r>
      <w:r w:rsidRPr="000F56E0">
        <w:t>raggiunge nella provincia in esame il 2</w:t>
      </w:r>
      <w:r>
        <w:t>4</w:t>
      </w:r>
      <w:r w:rsidRPr="000F56E0">
        <w:t>,</w:t>
      </w:r>
      <w:r>
        <w:t>9</w:t>
      </w:r>
      <w:r w:rsidRPr="000F56E0">
        <w:t>%</w:t>
      </w:r>
      <w:r>
        <w:t xml:space="preserve">, con una crescita di oltre 16 punti percentuali rispetto al 2008.  </w:t>
      </w:r>
    </w:p>
    <w:p w:rsidR="00D77B0E" w:rsidRPr="000F56E0" w:rsidRDefault="00D77B0E" w:rsidP="00D77B0E">
      <w:pPr>
        <w:spacing w:line="360" w:lineRule="auto"/>
        <w:jc w:val="both"/>
      </w:pPr>
      <w:r w:rsidRPr="000F56E0">
        <w:t>Appare plausibile, comunque</w:t>
      </w:r>
      <w:r>
        <w:t>,</w:t>
      </w:r>
      <w:r w:rsidRPr="000F56E0">
        <w:t xml:space="preserve"> come tali scostamenti repentini rispetto al periodo precedente siano almeno in parte riconducibile all’effetto del “lavoratore aggiuntivo”, come indicato</w:t>
      </w:r>
      <w:r w:rsidRPr="000F56E0">
        <w:rPr>
          <w:color w:val="FF0000"/>
        </w:rPr>
        <w:t xml:space="preserve"> </w:t>
      </w:r>
      <w:r w:rsidRPr="00E02258">
        <w:t>dal Cnel</w:t>
      </w:r>
      <w:r w:rsidRPr="000F56E0">
        <w:t xml:space="preserve"> in un suo recente rapporto.</w:t>
      </w:r>
      <w:r>
        <w:t xml:space="preserve"> </w:t>
      </w:r>
      <w:r w:rsidRPr="000F56E0">
        <w:t>Un numero consistente di soggetti precedentemente inattivi si affacciano</w:t>
      </w:r>
      <w:r>
        <w:t>,</w:t>
      </w:r>
      <w:r w:rsidRPr="000F56E0">
        <w:t xml:space="preserve"> infatti, a causa di necessità </w:t>
      </w:r>
      <w:r>
        <w:t xml:space="preserve">personali e </w:t>
      </w:r>
      <w:r w:rsidRPr="000F56E0">
        <w:t>familiari, in maniera copiosa sul mercato del lavoro facendo quindi aumentare vertiginosamente il tasso di disoccupazione.</w:t>
      </w:r>
    </w:p>
    <w:p w:rsidR="00D77B0E" w:rsidRDefault="00D77B0E" w:rsidP="00D77B0E">
      <w:pPr>
        <w:spacing w:line="320" w:lineRule="exact"/>
        <w:jc w:val="both"/>
        <w:rPr>
          <w:rStyle w:val="current"/>
          <w:rFonts w:asciiTheme="majorHAnsi" w:hAnsiTheme="majorHAnsi"/>
          <w:sz w:val="22"/>
          <w:szCs w:val="22"/>
        </w:rPr>
      </w:pPr>
    </w:p>
    <w:p w:rsidR="00D77B0E" w:rsidRDefault="00D77B0E" w:rsidP="00D77B0E">
      <w:pPr>
        <w:spacing w:line="320" w:lineRule="exact"/>
        <w:jc w:val="both"/>
        <w:rPr>
          <w:rStyle w:val="current"/>
          <w:rFonts w:asciiTheme="majorHAnsi" w:hAnsiTheme="majorHAnsi"/>
          <w:sz w:val="22"/>
          <w:szCs w:val="22"/>
        </w:rPr>
      </w:pPr>
    </w:p>
    <w:p w:rsidR="00D77B0E" w:rsidRPr="009D7BBB" w:rsidRDefault="00D77B0E" w:rsidP="00D77B0E">
      <w:pPr>
        <w:autoSpaceDE w:val="0"/>
        <w:autoSpaceDN w:val="0"/>
        <w:adjustRightInd w:val="0"/>
        <w:spacing w:before="360" w:after="240" w:line="360" w:lineRule="auto"/>
        <w:jc w:val="both"/>
        <w:rPr>
          <w:rFonts w:eastAsiaTheme="minorHAnsi"/>
          <w:lang w:eastAsia="en-US"/>
        </w:rPr>
      </w:pPr>
      <w:r w:rsidRPr="009D7BBB">
        <w:rPr>
          <w:rStyle w:val="current"/>
        </w:rPr>
        <w:lastRenderedPageBreak/>
        <w:t xml:space="preserve">Osservando i dati relativi alle condizioni sociali, </w:t>
      </w:r>
      <w:r w:rsidRPr="009D7BBB">
        <w:rPr>
          <w:rFonts w:eastAsiaTheme="minorHAnsi"/>
          <w:lang w:eastAsia="en-US"/>
        </w:rPr>
        <w:t xml:space="preserve">nella provincia di </w:t>
      </w:r>
      <w:r>
        <w:rPr>
          <w:rFonts w:eastAsiaTheme="minorHAnsi"/>
          <w:lang w:eastAsia="en-US"/>
        </w:rPr>
        <w:t>Bergamo</w:t>
      </w:r>
      <w:r w:rsidRPr="009D7BBB">
        <w:rPr>
          <w:rFonts w:eastAsiaTheme="minorHAnsi"/>
          <w:lang w:eastAsia="en-US"/>
        </w:rPr>
        <w:t xml:space="preserve"> il reddito disponibile pro capite delle famiglie consumatrici risulta tra i più bassi a livello regionale, pari a 15.</w:t>
      </w:r>
      <w:r>
        <w:rPr>
          <w:rFonts w:eastAsiaTheme="minorHAnsi"/>
          <w:lang w:eastAsia="en-US"/>
        </w:rPr>
        <w:t>903,5</w:t>
      </w:r>
      <w:r w:rsidRPr="009D7BBB">
        <w:rPr>
          <w:rFonts w:eastAsiaTheme="minorHAnsi"/>
          <w:lang w:eastAsia="en-US"/>
        </w:rPr>
        <w:t xml:space="preserve"> euro nel 2010, a fronte dei 19.724 rilevati a livello regionale.  Peraltro, tale indicatore subisce una flessione significativa del </w:t>
      </w:r>
      <w:r>
        <w:rPr>
          <w:rFonts w:eastAsiaTheme="minorHAnsi"/>
          <w:lang w:eastAsia="en-US"/>
        </w:rPr>
        <w:t>6,6</w:t>
      </w:r>
      <w:r w:rsidRPr="009D7BBB">
        <w:rPr>
          <w:rFonts w:eastAsiaTheme="minorHAnsi"/>
          <w:lang w:eastAsia="en-US"/>
        </w:rPr>
        <w:t xml:space="preserve">% tra il 2008 ed il 2010. </w:t>
      </w:r>
    </w:p>
    <w:p w:rsidR="00D77B0E" w:rsidRPr="00441580" w:rsidRDefault="00D77B0E" w:rsidP="00D77B0E">
      <w:pPr>
        <w:rPr>
          <w:rFonts w:ascii="Garamond" w:hAnsi="Garamond"/>
          <w:b/>
          <w:iCs/>
          <w:sz w:val="20"/>
          <w:szCs w:val="20"/>
        </w:rPr>
      </w:pPr>
      <w:r w:rsidRPr="00441580">
        <w:rPr>
          <w:rFonts w:ascii="Garamond" w:hAnsi="Garamond"/>
          <w:b/>
          <w:iCs/>
          <w:sz w:val="20"/>
          <w:szCs w:val="20"/>
        </w:rPr>
        <w:t xml:space="preserve">Reddito lordo disponibile procapite delle famiglie. Italia, Lombardia e province lombarde. </w:t>
      </w:r>
    </w:p>
    <w:tbl>
      <w:tblPr>
        <w:tblW w:w="7080" w:type="dxa"/>
        <w:tblInd w:w="55" w:type="dxa"/>
        <w:tblCellMar>
          <w:left w:w="70" w:type="dxa"/>
          <w:right w:w="70" w:type="dxa"/>
        </w:tblCellMar>
        <w:tblLook w:val="04A0"/>
      </w:tblPr>
      <w:tblGrid>
        <w:gridCol w:w="1080"/>
        <w:gridCol w:w="960"/>
        <w:gridCol w:w="960"/>
        <w:gridCol w:w="960"/>
        <w:gridCol w:w="960"/>
        <w:gridCol w:w="720"/>
        <w:gridCol w:w="720"/>
        <w:gridCol w:w="720"/>
      </w:tblGrid>
      <w:tr w:rsidR="00D77B0E" w:rsidRPr="00441580" w:rsidTr="00D73F13">
        <w:trPr>
          <w:trHeight w:val="420"/>
        </w:trPr>
        <w:tc>
          <w:tcPr>
            <w:tcW w:w="108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rPr>
                <w:rFonts w:ascii="Garamond" w:hAnsi="Garamond" w:cs="Calibri"/>
                <w:b/>
                <w:bCs/>
                <w:sz w:val="18"/>
                <w:szCs w:val="18"/>
              </w:rPr>
            </w:pPr>
            <w:r w:rsidRPr="00441580">
              <w:rPr>
                <w:rFonts w:ascii="Garamond" w:hAnsi="Garamond" w:cs="Calibri"/>
                <w:b/>
                <w:bCs/>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2004</w:t>
            </w:r>
          </w:p>
        </w:tc>
        <w:tc>
          <w:tcPr>
            <w:tcW w:w="96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2008</w:t>
            </w:r>
          </w:p>
        </w:tc>
        <w:tc>
          <w:tcPr>
            <w:tcW w:w="96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2009</w:t>
            </w:r>
          </w:p>
        </w:tc>
        <w:tc>
          <w:tcPr>
            <w:tcW w:w="96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2010</w:t>
            </w:r>
          </w:p>
        </w:tc>
        <w:tc>
          <w:tcPr>
            <w:tcW w:w="72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6"/>
                <w:szCs w:val="16"/>
              </w:rPr>
            </w:pPr>
            <w:r w:rsidRPr="00441580">
              <w:rPr>
                <w:rFonts w:ascii="Garamond" w:hAnsi="Garamond" w:cs="Calibri"/>
                <w:b/>
                <w:bCs/>
                <w:sz w:val="16"/>
                <w:szCs w:val="16"/>
              </w:rPr>
              <w:t>Var. 04/10</w:t>
            </w:r>
          </w:p>
        </w:tc>
        <w:tc>
          <w:tcPr>
            <w:tcW w:w="72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6"/>
                <w:szCs w:val="16"/>
              </w:rPr>
            </w:pPr>
            <w:r w:rsidRPr="00441580">
              <w:rPr>
                <w:rFonts w:ascii="Garamond" w:hAnsi="Garamond" w:cs="Calibri"/>
                <w:b/>
                <w:bCs/>
                <w:sz w:val="16"/>
                <w:szCs w:val="16"/>
              </w:rPr>
              <w:t>Var. 08/10</w:t>
            </w:r>
          </w:p>
        </w:tc>
        <w:tc>
          <w:tcPr>
            <w:tcW w:w="72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6"/>
                <w:szCs w:val="16"/>
              </w:rPr>
            </w:pPr>
            <w:r w:rsidRPr="00441580">
              <w:rPr>
                <w:rFonts w:ascii="Garamond" w:hAnsi="Garamond" w:cs="Calibri"/>
                <w:b/>
                <w:bCs/>
                <w:sz w:val="16"/>
                <w:szCs w:val="16"/>
              </w:rPr>
              <w:t>Var. 09/10</w:t>
            </w:r>
          </w:p>
        </w:tc>
      </w:tr>
      <w:tr w:rsidR="00D77B0E" w:rsidRPr="00441580" w:rsidTr="00D73F13">
        <w:trPr>
          <w:trHeight w:val="240"/>
        </w:trPr>
        <w:tc>
          <w:tcPr>
            <w:tcW w:w="1080" w:type="dxa"/>
            <w:tcBorders>
              <w:top w:val="nil"/>
              <w:left w:val="nil"/>
              <w:bottom w:val="nil"/>
              <w:right w:val="nil"/>
            </w:tcBorders>
            <w:shd w:val="clear" w:color="auto" w:fill="auto"/>
            <w:noWrap/>
            <w:vAlign w:val="center"/>
            <w:hideMark/>
          </w:tcPr>
          <w:p w:rsidR="00D77B0E" w:rsidRPr="00441580" w:rsidRDefault="00D77B0E" w:rsidP="00D73F13">
            <w:pPr>
              <w:rPr>
                <w:rFonts w:ascii="Garamond" w:hAnsi="Garamond" w:cs="Calibri"/>
                <w:color w:val="000000"/>
                <w:sz w:val="18"/>
                <w:szCs w:val="18"/>
              </w:rPr>
            </w:pPr>
            <w:r w:rsidRPr="00441580">
              <w:rPr>
                <w:rFonts w:ascii="Garamond" w:hAnsi="Garamond" w:cs="Calibri"/>
                <w:color w:val="000000"/>
                <w:sz w:val="18"/>
                <w:szCs w:val="18"/>
              </w:rPr>
              <w:t>Varese</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16.190,8</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17.343,6</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16.107,0</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16.234,5</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0,3</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-6,4</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0,8</w:t>
            </w:r>
          </w:p>
        </w:tc>
      </w:tr>
      <w:tr w:rsidR="00D77B0E" w:rsidRPr="00441580" w:rsidTr="00D73F13">
        <w:trPr>
          <w:trHeight w:val="240"/>
        </w:trPr>
        <w:tc>
          <w:tcPr>
            <w:tcW w:w="1080" w:type="dxa"/>
            <w:tcBorders>
              <w:top w:val="nil"/>
              <w:left w:val="nil"/>
              <w:bottom w:val="nil"/>
              <w:right w:val="nil"/>
            </w:tcBorders>
            <w:shd w:val="clear" w:color="auto" w:fill="auto"/>
            <w:noWrap/>
            <w:vAlign w:val="center"/>
            <w:hideMark/>
          </w:tcPr>
          <w:p w:rsidR="00D77B0E" w:rsidRPr="00441580" w:rsidRDefault="00D77B0E" w:rsidP="00D73F13">
            <w:pPr>
              <w:rPr>
                <w:rFonts w:ascii="Garamond" w:hAnsi="Garamond" w:cs="Calibri"/>
                <w:color w:val="000000"/>
                <w:sz w:val="18"/>
                <w:szCs w:val="18"/>
              </w:rPr>
            </w:pPr>
            <w:r w:rsidRPr="00441580">
              <w:rPr>
                <w:rFonts w:ascii="Garamond" w:hAnsi="Garamond" w:cs="Calibri"/>
                <w:color w:val="000000"/>
                <w:sz w:val="18"/>
                <w:szCs w:val="18"/>
              </w:rPr>
              <w:t>Como</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15.152,7</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16.323,6</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15.077,4</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15.135,7</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-0,1</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-7,3</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0,4</w:t>
            </w:r>
          </w:p>
        </w:tc>
      </w:tr>
      <w:tr w:rsidR="00D77B0E" w:rsidRPr="00441580" w:rsidTr="00D73F13">
        <w:trPr>
          <w:trHeight w:val="240"/>
        </w:trPr>
        <w:tc>
          <w:tcPr>
            <w:tcW w:w="1080" w:type="dxa"/>
            <w:tcBorders>
              <w:top w:val="nil"/>
              <w:left w:val="nil"/>
              <w:bottom w:val="nil"/>
              <w:right w:val="nil"/>
            </w:tcBorders>
            <w:shd w:val="clear" w:color="auto" w:fill="auto"/>
            <w:noWrap/>
            <w:vAlign w:val="center"/>
            <w:hideMark/>
          </w:tcPr>
          <w:p w:rsidR="00D77B0E" w:rsidRPr="00441580" w:rsidRDefault="00D77B0E" w:rsidP="00D73F13">
            <w:pPr>
              <w:rPr>
                <w:rFonts w:ascii="Garamond" w:hAnsi="Garamond" w:cs="Calibri"/>
                <w:color w:val="000000"/>
                <w:sz w:val="18"/>
                <w:szCs w:val="18"/>
              </w:rPr>
            </w:pPr>
            <w:r w:rsidRPr="00441580">
              <w:rPr>
                <w:rFonts w:ascii="Garamond" w:hAnsi="Garamond" w:cs="Calibri"/>
                <w:color w:val="000000"/>
                <w:sz w:val="18"/>
                <w:szCs w:val="18"/>
              </w:rPr>
              <w:t>Sondrio</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17.203,9</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19.586,8</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18.103,1</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18.077,8</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5,1</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-7,7</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-0,1</w:t>
            </w:r>
          </w:p>
        </w:tc>
      </w:tr>
      <w:tr w:rsidR="00D77B0E" w:rsidRPr="00441580" w:rsidTr="00D73F13">
        <w:trPr>
          <w:trHeight w:val="240"/>
        </w:trPr>
        <w:tc>
          <w:tcPr>
            <w:tcW w:w="1080" w:type="dxa"/>
            <w:tcBorders>
              <w:top w:val="nil"/>
              <w:left w:val="nil"/>
              <w:bottom w:val="nil"/>
              <w:right w:val="nil"/>
            </w:tcBorders>
            <w:shd w:val="clear" w:color="auto" w:fill="auto"/>
            <w:noWrap/>
            <w:vAlign w:val="center"/>
            <w:hideMark/>
          </w:tcPr>
          <w:p w:rsidR="00D77B0E" w:rsidRPr="00441580" w:rsidRDefault="00D77B0E" w:rsidP="00D73F13">
            <w:pPr>
              <w:rPr>
                <w:rFonts w:ascii="Garamond" w:hAnsi="Garamond" w:cs="Calibri"/>
                <w:color w:val="000000"/>
                <w:sz w:val="18"/>
                <w:szCs w:val="18"/>
              </w:rPr>
            </w:pPr>
            <w:r w:rsidRPr="00441580">
              <w:rPr>
                <w:rFonts w:ascii="Garamond" w:hAnsi="Garamond" w:cs="Calibri"/>
                <w:color w:val="000000"/>
                <w:sz w:val="18"/>
                <w:szCs w:val="18"/>
              </w:rPr>
              <w:t>Milano</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24.518,9</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25.804,7</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25.204,6</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25.290,7</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3,1</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-2,0</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0,3</w:t>
            </w:r>
          </w:p>
        </w:tc>
      </w:tr>
      <w:tr w:rsidR="00D77B0E" w:rsidRPr="00C41DFB" w:rsidTr="00D73F13">
        <w:trPr>
          <w:trHeight w:val="240"/>
        </w:trPr>
        <w:tc>
          <w:tcPr>
            <w:tcW w:w="1080" w:type="dxa"/>
            <w:tcBorders>
              <w:top w:val="nil"/>
              <w:left w:val="nil"/>
              <w:bottom w:val="nil"/>
              <w:right w:val="nil"/>
            </w:tcBorders>
            <w:shd w:val="clear" w:color="auto" w:fill="auto"/>
            <w:noWrap/>
            <w:vAlign w:val="center"/>
            <w:hideMark/>
          </w:tcPr>
          <w:p w:rsidR="00D77B0E" w:rsidRPr="00C41DFB" w:rsidRDefault="00D77B0E" w:rsidP="00D73F13">
            <w:pPr>
              <w:rPr>
                <w:rFonts w:ascii="Garamond" w:hAnsi="Garamond" w:cs="Calibri"/>
                <w:b/>
                <w:color w:val="000000"/>
                <w:sz w:val="18"/>
                <w:szCs w:val="18"/>
              </w:rPr>
            </w:pPr>
            <w:r w:rsidRPr="00C41DFB">
              <w:rPr>
                <w:rFonts w:ascii="Garamond" w:hAnsi="Garamond" w:cs="Calibri"/>
                <w:b/>
                <w:color w:val="000000"/>
                <w:sz w:val="18"/>
                <w:szCs w:val="18"/>
              </w:rPr>
              <w:t>Bergamo</w:t>
            </w:r>
          </w:p>
        </w:tc>
        <w:tc>
          <w:tcPr>
            <w:tcW w:w="960" w:type="dxa"/>
            <w:tcBorders>
              <w:top w:val="nil"/>
              <w:left w:val="nil"/>
              <w:bottom w:val="nil"/>
              <w:right w:val="nil"/>
            </w:tcBorders>
            <w:shd w:val="clear" w:color="auto" w:fill="auto"/>
            <w:vAlign w:val="center"/>
            <w:hideMark/>
          </w:tcPr>
          <w:p w:rsidR="00D77B0E" w:rsidRPr="00C41DFB" w:rsidRDefault="00D77B0E" w:rsidP="00D73F13">
            <w:pPr>
              <w:ind w:firstLineChars="100" w:firstLine="181"/>
              <w:rPr>
                <w:rFonts w:ascii="Garamond" w:hAnsi="Garamond" w:cs="Calibri"/>
                <w:b/>
                <w:sz w:val="18"/>
                <w:szCs w:val="18"/>
              </w:rPr>
            </w:pPr>
            <w:r w:rsidRPr="00C41DFB">
              <w:rPr>
                <w:rFonts w:ascii="Garamond" w:hAnsi="Garamond" w:cs="Calibri"/>
                <w:b/>
                <w:sz w:val="18"/>
                <w:szCs w:val="18"/>
              </w:rPr>
              <w:t>15.944,0</w:t>
            </w:r>
          </w:p>
        </w:tc>
        <w:tc>
          <w:tcPr>
            <w:tcW w:w="960" w:type="dxa"/>
            <w:tcBorders>
              <w:top w:val="nil"/>
              <w:left w:val="nil"/>
              <w:bottom w:val="nil"/>
              <w:right w:val="nil"/>
            </w:tcBorders>
            <w:shd w:val="clear" w:color="auto" w:fill="auto"/>
            <w:vAlign w:val="center"/>
            <w:hideMark/>
          </w:tcPr>
          <w:p w:rsidR="00D77B0E" w:rsidRPr="00C41DFB" w:rsidRDefault="00D77B0E" w:rsidP="00D73F13">
            <w:pPr>
              <w:ind w:firstLineChars="100" w:firstLine="181"/>
              <w:rPr>
                <w:rFonts w:ascii="Garamond" w:hAnsi="Garamond" w:cs="Calibri"/>
                <w:b/>
                <w:sz w:val="18"/>
                <w:szCs w:val="18"/>
              </w:rPr>
            </w:pPr>
            <w:r w:rsidRPr="00C41DFB">
              <w:rPr>
                <w:rFonts w:ascii="Garamond" w:hAnsi="Garamond" w:cs="Calibri"/>
                <w:b/>
                <w:sz w:val="18"/>
                <w:szCs w:val="18"/>
              </w:rPr>
              <w:t>17.030,1</w:t>
            </w:r>
          </w:p>
        </w:tc>
        <w:tc>
          <w:tcPr>
            <w:tcW w:w="960" w:type="dxa"/>
            <w:tcBorders>
              <w:top w:val="nil"/>
              <w:left w:val="nil"/>
              <w:bottom w:val="nil"/>
              <w:right w:val="nil"/>
            </w:tcBorders>
            <w:shd w:val="clear" w:color="auto" w:fill="auto"/>
            <w:vAlign w:val="center"/>
            <w:hideMark/>
          </w:tcPr>
          <w:p w:rsidR="00D77B0E" w:rsidRPr="00C41DFB" w:rsidRDefault="00D77B0E" w:rsidP="00D73F13">
            <w:pPr>
              <w:ind w:firstLineChars="100" w:firstLine="181"/>
              <w:rPr>
                <w:rFonts w:ascii="Garamond" w:hAnsi="Garamond" w:cs="Calibri"/>
                <w:b/>
                <w:sz w:val="18"/>
                <w:szCs w:val="18"/>
              </w:rPr>
            </w:pPr>
            <w:r w:rsidRPr="00C41DFB">
              <w:rPr>
                <w:rFonts w:ascii="Garamond" w:hAnsi="Garamond" w:cs="Calibri"/>
                <w:b/>
                <w:sz w:val="18"/>
                <w:szCs w:val="18"/>
              </w:rPr>
              <w:t>15.857,4</w:t>
            </w:r>
          </w:p>
        </w:tc>
        <w:tc>
          <w:tcPr>
            <w:tcW w:w="960" w:type="dxa"/>
            <w:tcBorders>
              <w:top w:val="nil"/>
              <w:left w:val="nil"/>
              <w:bottom w:val="nil"/>
              <w:right w:val="nil"/>
            </w:tcBorders>
            <w:shd w:val="clear" w:color="auto" w:fill="auto"/>
            <w:vAlign w:val="center"/>
            <w:hideMark/>
          </w:tcPr>
          <w:p w:rsidR="00D77B0E" w:rsidRPr="00C41DFB" w:rsidRDefault="00D77B0E" w:rsidP="00D73F13">
            <w:pPr>
              <w:ind w:firstLineChars="100" w:firstLine="181"/>
              <w:rPr>
                <w:rFonts w:ascii="Garamond" w:hAnsi="Garamond" w:cs="Calibri"/>
                <w:b/>
                <w:sz w:val="18"/>
                <w:szCs w:val="18"/>
              </w:rPr>
            </w:pPr>
            <w:r w:rsidRPr="00C41DFB">
              <w:rPr>
                <w:rFonts w:ascii="Garamond" w:hAnsi="Garamond" w:cs="Calibri"/>
                <w:b/>
                <w:sz w:val="18"/>
                <w:szCs w:val="18"/>
              </w:rPr>
              <w:t>15.903,5</w:t>
            </w:r>
          </w:p>
        </w:tc>
        <w:tc>
          <w:tcPr>
            <w:tcW w:w="720" w:type="dxa"/>
            <w:tcBorders>
              <w:top w:val="nil"/>
              <w:left w:val="nil"/>
              <w:bottom w:val="nil"/>
              <w:right w:val="nil"/>
            </w:tcBorders>
            <w:shd w:val="clear" w:color="auto" w:fill="auto"/>
            <w:vAlign w:val="center"/>
            <w:hideMark/>
          </w:tcPr>
          <w:p w:rsidR="00D77B0E" w:rsidRPr="00C41DFB" w:rsidRDefault="00D77B0E" w:rsidP="00D73F13">
            <w:pPr>
              <w:jc w:val="center"/>
              <w:rPr>
                <w:rFonts w:ascii="Garamond" w:hAnsi="Garamond" w:cs="Calibri"/>
                <w:b/>
                <w:sz w:val="18"/>
                <w:szCs w:val="18"/>
              </w:rPr>
            </w:pPr>
            <w:r w:rsidRPr="00C41DFB">
              <w:rPr>
                <w:rFonts w:ascii="Garamond" w:hAnsi="Garamond" w:cs="Calibri"/>
                <w:b/>
                <w:sz w:val="18"/>
                <w:szCs w:val="18"/>
              </w:rPr>
              <w:t>-0,3</w:t>
            </w:r>
          </w:p>
        </w:tc>
        <w:tc>
          <w:tcPr>
            <w:tcW w:w="720" w:type="dxa"/>
            <w:tcBorders>
              <w:top w:val="nil"/>
              <w:left w:val="nil"/>
              <w:bottom w:val="nil"/>
              <w:right w:val="nil"/>
            </w:tcBorders>
            <w:shd w:val="clear" w:color="auto" w:fill="auto"/>
            <w:vAlign w:val="center"/>
            <w:hideMark/>
          </w:tcPr>
          <w:p w:rsidR="00D77B0E" w:rsidRPr="00C41DFB" w:rsidRDefault="00D77B0E" w:rsidP="00D73F13">
            <w:pPr>
              <w:jc w:val="center"/>
              <w:rPr>
                <w:rFonts w:ascii="Garamond" w:hAnsi="Garamond" w:cs="Calibri"/>
                <w:b/>
                <w:sz w:val="18"/>
                <w:szCs w:val="18"/>
              </w:rPr>
            </w:pPr>
            <w:r w:rsidRPr="00C41DFB">
              <w:rPr>
                <w:rFonts w:ascii="Garamond" w:hAnsi="Garamond" w:cs="Calibri"/>
                <w:b/>
                <w:sz w:val="18"/>
                <w:szCs w:val="18"/>
              </w:rPr>
              <w:t>-6,6</w:t>
            </w:r>
          </w:p>
        </w:tc>
        <w:tc>
          <w:tcPr>
            <w:tcW w:w="720" w:type="dxa"/>
            <w:tcBorders>
              <w:top w:val="nil"/>
              <w:left w:val="nil"/>
              <w:bottom w:val="nil"/>
              <w:right w:val="nil"/>
            </w:tcBorders>
            <w:shd w:val="clear" w:color="auto" w:fill="auto"/>
            <w:vAlign w:val="center"/>
            <w:hideMark/>
          </w:tcPr>
          <w:p w:rsidR="00D77B0E" w:rsidRPr="00C41DFB" w:rsidRDefault="00D77B0E" w:rsidP="00D73F13">
            <w:pPr>
              <w:jc w:val="center"/>
              <w:rPr>
                <w:rFonts w:ascii="Garamond" w:hAnsi="Garamond" w:cs="Calibri"/>
                <w:b/>
                <w:sz w:val="18"/>
                <w:szCs w:val="18"/>
              </w:rPr>
            </w:pPr>
            <w:r w:rsidRPr="00C41DFB">
              <w:rPr>
                <w:rFonts w:ascii="Garamond" w:hAnsi="Garamond" w:cs="Calibri"/>
                <w:b/>
                <w:sz w:val="18"/>
                <w:szCs w:val="18"/>
              </w:rPr>
              <w:t>0,3</w:t>
            </w:r>
          </w:p>
        </w:tc>
      </w:tr>
      <w:tr w:rsidR="00D77B0E" w:rsidRPr="00441580" w:rsidTr="00D73F13">
        <w:trPr>
          <w:trHeight w:val="240"/>
        </w:trPr>
        <w:tc>
          <w:tcPr>
            <w:tcW w:w="1080" w:type="dxa"/>
            <w:tcBorders>
              <w:top w:val="nil"/>
              <w:left w:val="nil"/>
              <w:bottom w:val="nil"/>
              <w:right w:val="nil"/>
            </w:tcBorders>
            <w:shd w:val="clear" w:color="auto" w:fill="auto"/>
            <w:noWrap/>
            <w:vAlign w:val="center"/>
            <w:hideMark/>
          </w:tcPr>
          <w:p w:rsidR="00D77B0E" w:rsidRPr="00441580" w:rsidRDefault="00D77B0E" w:rsidP="00D73F13">
            <w:pPr>
              <w:rPr>
                <w:rFonts w:ascii="Garamond" w:hAnsi="Garamond" w:cs="Calibri"/>
                <w:color w:val="000000"/>
                <w:sz w:val="18"/>
                <w:szCs w:val="18"/>
              </w:rPr>
            </w:pPr>
            <w:r w:rsidRPr="00441580">
              <w:rPr>
                <w:rFonts w:ascii="Garamond" w:hAnsi="Garamond" w:cs="Calibri"/>
                <w:color w:val="000000"/>
                <w:sz w:val="18"/>
                <w:szCs w:val="18"/>
              </w:rPr>
              <w:t>Brescia</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16.009,7</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17.160,4</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15.716,8</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15.658,5</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-2,2</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-8,8</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-0,4</w:t>
            </w:r>
          </w:p>
        </w:tc>
      </w:tr>
      <w:tr w:rsidR="00D77B0E" w:rsidRPr="00441580" w:rsidTr="00D73F13">
        <w:trPr>
          <w:trHeight w:val="240"/>
        </w:trPr>
        <w:tc>
          <w:tcPr>
            <w:tcW w:w="1080" w:type="dxa"/>
            <w:tcBorders>
              <w:top w:val="nil"/>
              <w:left w:val="nil"/>
              <w:bottom w:val="nil"/>
              <w:right w:val="nil"/>
            </w:tcBorders>
            <w:shd w:val="clear" w:color="auto" w:fill="auto"/>
            <w:noWrap/>
            <w:vAlign w:val="center"/>
            <w:hideMark/>
          </w:tcPr>
          <w:p w:rsidR="00D77B0E" w:rsidRPr="00441580" w:rsidRDefault="00D77B0E" w:rsidP="00D73F13">
            <w:pPr>
              <w:rPr>
                <w:rFonts w:ascii="Garamond" w:hAnsi="Garamond" w:cs="Calibri"/>
                <w:color w:val="000000"/>
                <w:sz w:val="18"/>
                <w:szCs w:val="18"/>
              </w:rPr>
            </w:pPr>
            <w:r w:rsidRPr="00441580">
              <w:rPr>
                <w:rFonts w:ascii="Garamond" w:hAnsi="Garamond" w:cs="Calibri"/>
                <w:color w:val="000000"/>
                <w:sz w:val="18"/>
                <w:szCs w:val="18"/>
              </w:rPr>
              <w:t>Pavia</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16.708,8</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18.012,5</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16.660,6</w:t>
            </w:r>
          </w:p>
        </w:tc>
        <w:tc>
          <w:tcPr>
            <w:tcW w:w="960" w:type="dxa"/>
            <w:tcBorders>
              <w:top w:val="nil"/>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16.629,4</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-0,5</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-7,7</w:t>
            </w:r>
          </w:p>
        </w:tc>
        <w:tc>
          <w:tcPr>
            <w:tcW w:w="720" w:type="dxa"/>
            <w:tcBorders>
              <w:top w:val="nil"/>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-0,2</w:t>
            </w:r>
          </w:p>
        </w:tc>
      </w:tr>
      <w:tr w:rsidR="00D77B0E" w:rsidRPr="00441580" w:rsidTr="00D73F13">
        <w:trPr>
          <w:trHeight w:val="240"/>
        </w:trPr>
        <w:tc>
          <w:tcPr>
            <w:tcW w:w="1080" w:type="dxa"/>
            <w:tcBorders>
              <w:top w:val="nil"/>
              <w:left w:val="nil"/>
              <w:right w:val="nil"/>
            </w:tcBorders>
            <w:shd w:val="clear" w:color="auto" w:fill="auto"/>
            <w:noWrap/>
            <w:vAlign w:val="center"/>
            <w:hideMark/>
          </w:tcPr>
          <w:p w:rsidR="00D77B0E" w:rsidRPr="00441580" w:rsidRDefault="00D77B0E" w:rsidP="00D73F13">
            <w:pPr>
              <w:rPr>
                <w:rFonts w:ascii="Garamond" w:hAnsi="Garamond" w:cs="Calibri"/>
                <w:color w:val="000000"/>
                <w:sz w:val="18"/>
                <w:szCs w:val="18"/>
              </w:rPr>
            </w:pPr>
            <w:r w:rsidRPr="00441580">
              <w:rPr>
                <w:rFonts w:ascii="Garamond" w:hAnsi="Garamond" w:cs="Calibri"/>
                <w:color w:val="000000"/>
                <w:sz w:val="18"/>
                <w:szCs w:val="18"/>
              </w:rPr>
              <w:t>Cremona</w:t>
            </w:r>
          </w:p>
        </w:tc>
        <w:tc>
          <w:tcPr>
            <w:tcW w:w="960" w:type="dxa"/>
            <w:tcBorders>
              <w:top w:val="nil"/>
              <w:left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16.879,0</w:t>
            </w:r>
          </w:p>
        </w:tc>
        <w:tc>
          <w:tcPr>
            <w:tcW w:w="960" w:type="dxa"/>
            <w:tcBorders>
              <w:top w:val="nil"/>
              <w:left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18.216,7</w:t>
            </w:r>
          </w:p>
        </w:tc>
        <w:tc>
          <w:tcPr>
            <w:tcW w:w="960" w:type="dxa"/>
            <w:tcBorders>
              <w:top w:val="nil"/>
              <w:left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16.856,8</w:t>
            </w:r>
          </w:p>
        </w:tc>
        <w:tc>
          <w:tcPr>
            <w:tcW w:w="960" w:type="dxa"/>
            <w:tcBorders>
              <w:top w:val="nil"/>
              <w:left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16.800,8</w:t>
            </w:r>
          </w:p>
        </w:tc>
        <w:tc>
          <w:tcPr>
            <w:tcW w:w="720" w:type="dxa"/>
            <w:tcBorders>
              <w:top w:val="nil"/>
              <w:left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-0,5</w:t>
            </w:r>
          </w:p>
        </w:tc>
        <w:tc>
          <w:tcPr>
            <w:tcW w:w="720" w:type="dxa"/>
            <w:tcBorders>
              <w:top w:val="nil"/>
              <w:left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-7,8</w:t>
            </w:r>
          </w:p>
        </w:tc>
        <w:tc>
          <w:tcPr>
            <w:tcW w:w="720" w:type="dxa"/>
            <w:tcBorders>
              <w:top w:val="nil"/>
              <w:left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-0,3</w:t>
            </w:r>
          </w:p>
        </w:tc>
      </w:tr>
      <w:tr w:rsidR="00D77B0E" w:rsidRPr="00441580" w:rsidTr="00D73F13">
        <w:trPr>
          <w:trHeight w:val="240"/>
        </w:trPr>
        <w:tc>
          <w:tcPr>
            <w:tcW w:w="1080" w:type="dxa"/>
            <w:tcBorders>
              <w:left w:val="nil"/>
              <w:right w:val="nil"/>
            </w:tcBorders>
            <w:shd w:val="clear" w:color="auto" w:fill="auto"/>
            <w:noWrap/>
            <w:vAlign w:val="center"/>
            <w:hideMark/>
          </w:tcPr>
          <w:p w:rsidR="00D77B0E" w:rsidRPr="00500EC5" w:rsidRDefault="00D77B0E" w:rsidP="00D73F13">
            <w:pPr>
              <w:rPr>
                <w:rFonts w:ascii="Garamond" w:hAnsi="Garamond" w:cs="Calibri"/>
                <w:bCs/>
                <w:color w:val="000000"/>
                <w:sz w:val="18"/>
                <w:szCs w:val="18"/>
              </w:rPr>
            </w:pPr>
            <w:r w:rsidRPr="00500EC5">
              <w:rPr>
                <w:rFonts w:ascii="Garamond" w:hAnsi="Garamond" w:cs="Calibri"/>
                <w:bCs/>
                <w:color w:val="000000"/>
                <w:sz w:val="18"/>
                <w:szCs w:val="18"/>
              </w:rPr>
              <w:t>Mantova</w:t>
            </w:r>
          </w:p>
        </w:tc>
        <w:tc>
          <w:tcPr>
            <w:tcW w:w="960" w:type="dxa"/>
            <w:tcBorders>
              <w:left w:val="nil"/>
              <w:right w:val="nil"/>
            </w:tcBorders>
            <w:shd w:val="clear" w:color="auto" w:fill="auto"/>
            <w:vAlign w:val="center"/>
            <w:hideMark/>
          </w:tcPr>
          <w:p w:rsidR="00D77B0E" w:rsidRPr="00500EC5" w:rsidRDefault="00D77B0E" w:rsidP="00D73F13">
            <w:pPr>
              <w:ind w:firstLineChars="100" w:firstLine="180"/>
              <w:rPr>
                <w:rFonts w:ascii="Garamond" w:hAnsi="Garamond" w:cs="Calibri"/>
                <w:bCs/>
                <w:sz w:val="18"/>
                <w:szCs w:val="18"/>
              </w:rPr>
            </w:pPr>
            <w:r w:rsidRPr="00500EC5">
              <w:rPr>
                <w:rFonts w:ascii="Garamond" w:hAnsi="Garamond" w:cs="Calibri"/>
                <w:bCs/>
                <w:sz w:val="18"/>
                <w:szCs w:val="18"/>
              </w:rPr>
              <w:t>16.991,6</w:t>
            </w:r>
          </w:p>
        </w:tc>
        <w:tc>
          <w:tcPr>
            <w:tcW w:w="960" w:type="dxa"/>
            <w:tcBorders>
              <w:left w:val="nil"/>
              <w:right w:val="nil"/>
            </w:tcBorders>
            <w:shd w:val="clear" w:color="auto" w:fill="auto"/>
            <w:vAlign w:val="center"/>
            <w:hideMark/>
          </w:tcPr>
          <w:p w:rsidR="00D77B0E" w:rsidRPr="00500EC5" w:rsidRDefault="00D77B0E" w:rsidP="00D73F13">
            <w:pPr>
              <w:ind w:firstLineChars="100" w:firstLine="180"/>
              <w:rPr>
                <w:rFonts w:ascii="Garamond" w:hAnsi="Garamond" w:cs="Calibri"/>
                <w:bCs/>
                <w:sz w:val="18"/>
                <w:szCs w:val="18"/>
              </w:rPr>
            </w:pPr>
            <w:r w:rsidRPr="00500EC5">
              <w:rPr>
                <w:rFonts w:ascii="Garamond" w:hAnsi="Garamond" w:cs="Calibri"/>
                <w:bCs/>
                <w:sz w:val="18"/>
                <w:szCs w:val="18"/>
              </w:rPr>
              <w:t>17.937,4</w:t>
            </w:r>
          </w:p>
        </w:tc>
        <w:tc>
          <w:tcPr>
            <w:tcW w:w="960" w:type="dxa"/>
            <w:tcBorders>
              <w:left w:val="nil"/>
              <w:right w:val="nil"/>
            </w:tcBorders>
            <w:shd w:val="clear" w:color="auto" w:fill="auto"/>
            <w:vAlign w:val="center"/>
            <w:hideMark/>
          </w:tcPr>
          <w:p w:rsidR="00D77B0E" w:rsidRPr="00500EC5" w:rsidRDefault="00D77B0E" w:rsidP="00D73F13">
            <w:pPr>
              <w:ind w:firstLineChars="100" w:firstLine="180"/>
              <w:rPr>
                <w:rFonts w:ascii="Garamond" w:hAnsi="Garamond" w:cs="Calibri"/>
                <w:bCs/>
                <w:sz w:val="18"/>
                <w:szCs w:val="18"/>
              </w:rPr>
            </w:pPr>
            <w:r w:rsidRPr="00500EC5">
              <w:rPr>
                <w:rFonts w:ascii="Garamond" w:hAnsi="Garamond" w:cs="Calibri"/>
                <w:bCs/>
                <w:sz w:val="18"/>
                <w:szCs w:val="18"/>
              </w:rPr>
              <w:t>16.546,7</w:t>
            </w:r>
          </w:p>
        </w:tc>
        <w:tc>
          <w:tcPr>
            <w:tcW w:w="960" w:type="dxa"/>
            <w:tcBorders>
              <w:left w:val="nil"/>
              <w:right w:val="nil"/>
            </w:tcBorders>
            <w:shd w:val="clear" w:color="auto" w:fill="auto"/>
            <w:vAlign w:val="center"/>
            <w:hideMark/>
          </w:tcPr>
          <w:p w:rsidR="00D77B0E" w:rsidRPr="00500EC5" w:rsidRDefault="00D77B0E" w:rsidP="00D73F13">
            <w:pPr>
              <w:ind w:firstLineChars="100" w:firstLine="180"/>
              <w:rPr>
                <w:rFonts w:ascii="Garamond" w:hAnsi="Garamond" w:cs="Calibri"/>
                <w:bCs/>
                <w:sz w:val="18"/>
                <w:szCs w:val="18"/>
              </w:rPr>
            </w:pPr>
            <w:r w:rsidRPr="00500EC5">
              <w:rPr>
                <w:rFonts w:ascii="Garamond" w:hAnsi="Garamond" w:cs="Calibri"/>
                <w:bCs/>
                <w:sz w:val="18"/>
                <w:szCs w:val="18"/>
              </w:rPr>
              <w:t>16.428,5</w:t>
            </w:r>
          </w:p>
        </w:tc>
        <w:tc>
          <w:tcPr>
            <w:tcW w:w="720" w:type="dxa"/>
            <w:tcBorders>
              <w:left w:val="nil"/>
              <w:right w:val="nil"/>
            </w:tcBorders>
            <w:shd w:val="clear" w:color="auto" w:fill="auto"/>
            <w:vAlign w:val="center"/>
            <w:hideMark/>
          </w:tcPr>
          <w:p w:rsidR="00D77B0E" w:rsidRPr="00500EC5" w:rsidRDefault="00D77B0E" w:rsidP="00D73F13">
            <w:pPr>
              <w:jc w:val="center"/>
              <w:rPr>
                <w:rFonts w:ascii="Garamond" w:hAnsi="Garamond" w:cs="Calibri"/>
                <w:bCs/>
                <w:sz w:val="18"/>
                <w:szCs w:val="18"/>
              </w:rPr>
            </w:pPr>
            <w:r w:rsidRPr="00500EC5">
              <w:rPr>
                <w:rFonts w:ascii="Garamond" w:hAnsi="Garamond" w:cs="Calibri"/>
                <w:bCs/>
                <w:sz w:val="18"/>
                <w:szCs w:val="18"/>
              </w:rPr>
              <w:t>-3,3</w:t>
            </w:r>
          </w:p>
        </w:tc>
        <w:tc>
          <w:tcPr>
            <w:tcW w:w="720" w:type="dxa"/>
            <w:tcBorders>
              <w:left w:val="nil"/>
              <w:right w:val="nil"/>
            </w:tcBorders>
            <w:shd w:val="clear" w:color="auto" w:fill="auto"/>
            <w:vAlign w:val="center"/>
            <w:hideMark/>
          </w:tcPr>
          <w:p w:rsidR="00D77B0E" w:rsidRPr="00500EC5" w:rsidRDefault="00D77B0E" w:rsidP="00D73F13">
            <w:pPr>
              <w:jc w:val="center"/>
              <w:rPr>
                <w:rFonts w:ascii="Garamond" w:hAnsi="Garamond" w:cs="Calibri"/>
                <w:bCs/>
                <w:sz w:val="18"/>
                <w:szCs w:val="18"/>
              </w:rPr>
            </w:pPr>
            <w:r w:rsidRPr="00500EC5">
              <w:rPr>
                <w:rFonts w:ascii="Garamond" w:hAnsi="Garamond" w:cs="Calibri"/>
                <w:bCs/>
                <w:sz w:val="18"/>
                <w:szCs w:val="18"/>
              </w:rPr>
              <w:t>-8,4</w:t>
            </w:r>
          </w:p>
        </w:tc>
        <w:tc>
          <w:tcPr>
            <w:tcW w:w="720" w:type="dxa"/>
            <w:tcBorders>
              <w:left w:val="nil"/>
              <w:right w:val="nil"/>
            </w:tcBorders>
            <w:shd w:val="clear" w:color="auto" w:fill="auto"/>
            <w:vAlign w:val="center"/>
            <w:hideMark/>
          </w:tcPr>
          <w:p w:rsidR="00D77B0E" w:rsidRPr="00500EC5" w:rsidRDefault="00D77B0E" w:rsidP="00D73F13">
            <w:pPr>
              <w:jc w:val="center"/>
              <w:rPr>
                <w:rFonts w:ascii="Garamond" w:hAnsi="Garamond" w:cs="Calibri"/>
                <w:bCs/>
                <w:sz w:val="18"/>
                <w:szCs w:val="18"/>
              </w:rPr>
            </w:pPr>
            <w:r w:rsidRPr="00500EC5">
              <w:rPr>
                <w:rFonts w:ascii="Garamond" w:hAnsi="Garamond" w:cs="Calibri"/>
                <w:bCs/>
                <w:sz w:val="18"/>
                <w:szCs w:val="18"/>
              </w:rPr>
              <w:t>-0,7</w:t>
            </w:r>
          </w:p>
        </w:tc>
      </w:tr>
      <w:tr w:rsidR="00D77B0E" w:rsidRPr="00F515D2" w:rsidTr="00D73F13">
        <w:trPr>
          <w:trHeight w:val="240"/>
        </w:trPr>
        <w:tc>
          <w:tcPr>
            <w:tcW w:w="1080" w:type="dxa"/>
            <w:tcBorders>
              <w:left w:val="nil"/>
              <w:right w:val="nil"/>
            </w:tcBorders>
            <w:shd w:val="clear" w:color="auto" w:fill="auto"/>
            <w:noWrap/>
            <w:vAlign w:val="center"/>
            <w:hideMark/>
          </w:tcPr>
          <w:p w:rsidR="00D77B0E" w:rsidRPr="00F515D2" w:rsidRDefault="00D77B0E" w:rsidP="00D73F13">
            <w:pPr>
              <w:rPr>
                <w:rFonts w:ascii="Garamond" w:hAnsi="Garamond" w:cs="Calibri"/>
                <w:color w:val="000000"/>
                <w:sz w:val="18"/>
                <w:szCs w:val="18"/>
              </w:rPr>
            </w:pPr>
            <w:r w:rsidRPr="00F515D2">
              <w:rPr>
                <w:rFonts w:ascii="Garamond" w:hAnsi="Garamond" w:cs="Calibri"/>
                <w:color w:val="000000"/>
                <w:sz w:val="18"/>
                <w:szCs w:val="18"/>
              </w:rPr>
              <w:t>Lecco</w:t>
            </w:r>
          </w:p>
        </w:tc>
        <w:tc>
          <w:tcPr>
            <w:tcW w:w="960" w:type="dxa"/>
            <w:tcBorders>
              <w:left w:val="nil"/>
              <w:right w:val="nil"/>
            </w:tcBorders>
            <w:shd w:val="clear" w:color="auto" w:fill="auto"/>
            <w:vAlign w:val="center"/>
            <w:hideMark/>
          </w:tcPr>
          <w:p w:rsidR="00D77B0E" w:rsidRPr="00F515D2" w:rsidRDefault="00D77B0E" w:rsidP="00D73F13">
            <w:pPr>
              <w:ind w:firstLineChars="100" w:firstLine="180"/>
              <w:rPr>
                <w:rFonts w:ascii="Garamond" w:hAnsi="Garamond" w:cs="Calibri"/>
                <w:sz w:val="18"/>
                <w:szCs w:val="18"/>
              </w:rPr>
            </w:pPr>
            <w:r w:rsidRPr="00F515D2">
              <w:rPr>
                <w:rFonts w:ascii="Garamond" w:hAnsi="Garamond" w:cs="Calibri"/>
                <w:sz w:val="18"/>
                <w:szCs w:val="18"/>
              </w:rPr>
              <w:t>15.585,8</w:t>
            </w:r>
          </w:p>
        </w:tc>
        <w:tc>
          <w:tcPr>
            <w:tcW w:w="960" w:type="dxa"/>
            <w:tcBorders>
              <w:left w:val="nil"/>
              <w:right w:val="nil"/>
            </w:tcBorders>
            <w:shd w:val="clear" w:color="auto" w:fill="auto"/>
            <w:vAlign w:val="center"/>
            <w:hideMark/>
          </w:tcPr>
          <w:p w:rsidR="00D77B0E" w:rsidRPr="00F515D2" w:rsidRDefault="00D77B0E" w:rsidP="00D73F13">
            <w:pPr>
              <w:ind w:firstLineChars="100" w:firstLine="180"/>
              <w:rPr>
                <w:rFonts w:ascii="Garamond" w:hAnsi="Garamond" w:cs="Calibri"/>
                <w:sz w:val="18"/>
                <w:szCs w:val="18"/>
              </w:rPr>
            </w:pPr>
            <w:r w:rsidRPr="00F515D2">
              <w:rPr>
                <w:rFonts w:ascii="Garamond" w:hAnsi="Garamond" w:cs="Calibri"/>
                <w:sz w:val="18"/>
                <w:szCs w:val="18"/>
              </w:rPr>
              <w:t>16.871,5</w:t>
            </w:r>
          </w:p>
        </w:tc>
        <w:tc>
          <w:tcPr>
            <w:tcW w:w="960" w:type="dxa"/>
            <w:tcBorders>
              <w:left w:val="nil"/>
              <w:right w:val="nil"/>
            </w:tcBorders>
            <w:shd w:val="clear" w:color="auto" w:fill="auto"/>
            <w:vAlign w:val="center"/>
            <w:hideMark/>
          </w:tcPr>
          <w:p w:rsidR="00D77B0E" w:rsidRPr="00F515D2" w:rsidRDefault="00D77B0E" w:rsidP="00D73F13">
            <w:pPr>
              <w:ind w:firstLineChars="100" w:firstLine="180"/>
              <w:rPr>
                <w:rFonts w:ascii="Garamond" w:hAnsi="Garamond" w:cs="Calibri"/>
                <w:sz w:val="18"/>
                <w:szCs w:val="18"/>
              </w:rPr>
            </w:pPr>
            <w:r w:rsidRPr="00F515D2">
              <w:rPr>
                <w:rFonts w:ascii="Garamond" w:hAnsi="Garamond" w:cs="Calibri"/>
                <w:sz w:val="18"/>
                <w:szCs w:val="18"/>
              </w:rPr>
              <w:t>15.675,7</w:t>
            </w:r>
          </w:p>
        </w:tc>
        <w:tc>
          <w:tcPr>
            <w:tcW w:w="960" w:type="dxa"/>
            <w:tcBorders>
              <w:left w:val="nil"/>
              <w:right w:val="nil"/>
            </w:tcBorders>
            <w:shd w:val="clear" w:color="auto" w:fill="auto"/>
            <w:vAlign w:val="center"/>
            <w:hideMark/>
          </w:tcPr>
          <w:p w:rsidR="00D77B0E" w:rsidRPr="00F515D2" w:rsidRDefault="00D77B0E" w:rsidP="00D73F13">
            <w:pPr>
              <w:ind w:firstLineChars="100" w:firstLine="180"/>
              <w:rPr>
                <w:rFonts w:ascii="Garamond" w:hAnsi="Garamond" w:cs="Calibri"/>
                <w:sz w:val="18"/>
                <w:szCs w:val="18"/>
              </w:rPr>
            </w:pPr>
            <w:r w:rsidRPr="00F515D2">
              <w:rPr>
                <w:rFonts w:ascii="Garamond" w:hAnsi="Garamond" w:cs="Calibri"/>
                <w:sz w:val="18"/>
                <w:szCs w:val="18"/>
              </w:rPr>
              <w:t>15.736,0</w:t>
            </w:r>
          </w:p>
        </w:tc>
        <w:tc>
          <w:tcPr>
            <w:tcW w:w="720" w:type="dxa"/>
            <w:tcBorders>
              <w:left w:val="nil"/>
              <w:right w:val="nil"/>
            </w:tcBorders>
            <w:shd w:val="clear" w:color="auto" w:fill="auto"/>
            <w:vAlign w:val="center"/>
            <w:hideMark/>
          </w:tcPr>
          <w:p w:rsidR="00D77B0E" w:rsidRPr="00F515D2" w:rsidRDefault="00D77B0E" w:rsidP="00D73F13">
            <w:pPr>
              <w:jc w:val="center"/>
              <w:rPr>
                <w:rFonts w:ascii="Garamond" w:hAnsi="Garamond" w:cs="Calibri"/>
                <w:sz w:val="18"/>
                <w:szCs w:val="18"/>
              </w:rPr>
            </w:pPr>
            <w:r w:rsidRPr="00F515D2">
              <w:rPr>
                <w:rFonts w:ascii="Garamond" w:hAnsi="Garamond" w:cs="Calibri"/>
                <w:sz w:val="18"/>
                <w:szCs w:val="18"/>
              </w:rPr>
              <w:t>1,0</w:t>
            </w:r>
          </w:p>
        </w:tc>
        <w:tc>
          <w:tcPr>
            <w:tcW w:w="720" w:type="dxa"/>
            <w:tcBorders>
              <w:left w:val="nil"/>
              <w:right w:val="nil"/>
            </w:tcBorders>
            <w:shd w:val="clear" w:color="auto" w:fill="auto"/>
            <w:vAlign w:val="center"/>
            <w:hideMark/>
          </w:tcPr>
          <w:p w:rsidR="00D77B0E" w:rsidRPr="00F515D2" w:rsidRDefault="00D77B0E" w:rsidP="00D73F13">
            <w:pPr>
              <w:jc w:val="center"/>
              <w:rPr>
                <w:rFonts w:ascii="Garamond" w:hAnsi="Garamond" w:cs="Calibri"/>
                <w:sz w:val="18"/>
                <w:szCs w:val="18"/>
              </w:rPr>
            </w:pPr>
            <w:r w:rsidRPr="00F515D2">
              <w:rPr>
                <w:rFonts w:ascii="Garamond" w:hAnsi="Garamond" w:cs="Calibri"/>
                <w:sz w:val="18"/>
                <w:szCs w:val="18"/>
              </w:rPr>
              <w:t>-6,7</w:t>
            </w:r>
          </w:p>
        </w:tc>
        <w:tc>
          <w:tcPr>
            <w:tcW w:w="720" w:type="dxa"/>
            <w:tcBorders>
              <w:left w:val="nil"/>
              <w:right w:val="nil"/>
            </w:tcBorders>
            <w:shd w:val="clear" w:color="auto" w:fill="auto"/>
            <w:vAlign w:val="center"/>
            <w:hideMark/>
          </w:tcPr>
          <w:p w:rsidR="00D77B0E" w:rsidRPr="00F515D2" w:rsidRDefault="00D77B0E" w:rsidP="00D73F13">
            <w:pPr>
              <w:jc w:val="center"/>
              <w:rPr>
                <w:rFonts w:ascii="Garamond" w:hAnsi="Garamond" w:cs="Calibri"/>
                <w:sz w:val="18"/>
                <w:szCs w:val="18"/>
              </w:rPr>
            </w:pPr>
            <w:r w:rsidRPr="00F515D2">
              <w:rPr>
                <w:rFonts w:ascii="Garamond" w:hAnsi="Garamond" w:cs="Calibri"/>
                <w:sz w:val="18"/>
                <w:szCs w:val="18"/>
              </w:rPr>
              <w:t>0,4</w:t>
            </w:r>
          </w:p>
        </w:tc>
      </w:tr>
      <w:tr w:rsidR="00D77B0E" w:rsidRPr="00441580" w:rsidTr="00D73F13">
        <w:trPr>
          <w:trHeight w:val="240"/>
        </w:trPr>
        <w:tc>
          <w:tcPr>
            <w:tcW w:w="1080" w:type="dxa"/>
            <w:tcBorders>
              <w:left w:val="nil"/>
              <w:bottom w:val="nil"/>
              <w:right w:val="nil"/>
            </w:tcBorders>
            <w:shd w:val="clear" w:color="auto" w:fill="auto"/>
            <w:noWrap/>
            <w:vAlign w:val="center"/>
            <w:hideMark/>
          </w:tcPr>
          <w:p w:rsidR="00D77B0E" w:rsidRPr="00441580" w:rsidRDefault="00D77B0E" w:rsidP="00D73F13">
            <w:pPr>
              <w:rPr>
                <w:rFonts w:ascii="Garamond" w:hAnsi="Garamond" w:cs="Calibri"/>
                <w:color w:val="000000"/>
                <w:sz w:val="18"/>
                <w:szCs w:val="18"/>
              </w:rPr>
            </w:pPr>
            <w:r w:rsidRPr="00441580">
              <w:rPr>
                <w:rFonts w:ascii="Garamond" w:hAnsi="Garamond" w:cs="Calibri"/>
                <w:color w:val="000000"/>
                <w:sz w:val="18"/>
                <w:szCs w:val="18"/>
              </w:rPr>
              <w:t>Lodi</w:t>
            </w:r>
          </w:p>
        </w:tc>
        <w:tc>
          <w:tcPr>
            <w:tcW w:w="960" w:type="dxa"/>
            <w:tcBorders>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13.692,6</w:t>
            </w:r>
          </w:p>
        </w:tc>
        <w:tc>
          <w:tcPr>
            <w:tcW w:w="960" w:type="dxa"/>
            <w:tcBorders>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15.082,4</w:t>
            </w:r>
          </w:p>
        </w:tc>
        <w:tc>
          <w:tcPr>
            <w:tcW w:w="960" w:type="dxa"/>
            <w:tcBorders>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13.822,9</w:t>
            </w:r>
          </w:p>
        </w:tc>
        <w:tc>
          <w:tcPr>
            <w:tcW w:w="960" w:type="dxa"/>
            <w:tcBorders>
              <w:left w:val="nil"/>
              <w:bottom w:val="nil"/>
              <w:right w:val="nil"/>
            </w:tcBorders>
            <w:shd w:val="clear" w:color="auto" w:fill="auto"/>
            <w:vAlign w:val="center"/>
            <w:hideMark/>
          </w:tcPr>
          <w:p w:rsidR="00D77B0E" w:rsidRPr="00441580" w:rsidRDefault="00D77B0E" w:rsidP="00D73F13">
            <w:pPr>
              <w:ind w:firstLineChars="100" w:firstLine="180"/>
              <w:rPr>
                <w:rFonts w:ascii="Garamond" w:hAnsi="Garamond" w:cs="Calibri"/>
                <w:sz w:val="18"/>
                <w:szCs w:val="18"/>
              </w:rPr>
            </w:pPr>
            <w:r w:rsidRPr="00441580">
              <w:rPr>
                <w:rFonts w:ascii="Garamond" w:hAnsi="Garamond" w:cs="Calibri"/>
                <w:sz w:val="18"/>
                <w:szCs w:val="18"/>
              </w:rPr>
              <w:t>13.678,8</w:t>
            </w:r>
          </w:p>
        </w:tc>
        <w:tc>
          <w:tcPr>
            <w:tcW w:w="720" w:type="dxa"/>
            <w:tcBorders>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-0,1</w:t>
            </w:r>
          </w:p>
        </w:tc>
        <w:tc>
          <w:tcPr>
            <w:tcW w:w="720" w:type="dxa"/>
            <w:tcBorders>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-9,3</w:t>
            </w:r>
          </w:p>
        </w:tc>
        <w:tc>
          <w:tcPr>
            <w:tcW w:w="720" w:type="dxa"/>
            <w:tcBorders>
              <w:left w:val="nil"/>
              <w:bottom w:val="nil"/>
              <w:right w:val="nil"/>
            </w:tcBorders>
            <w:shd w:val="clear" w:color="auto" w:fill="auto"/>
            <w:vAlign w:val="center"/>
            <w:hideMark/>
          </w:tcPr>
          <w:p w:rsidR="00D77B0E" w:rsidRPr="00441580" w:rsidRDefault="00D77B0E" w:rsidP="00D73F13">
            <w:pPr>
              <w:jc w:val="center"/>
              <w:rPr>
                <w:rFonts w:ascii="Garamond" w:hAnsi="Garamond" w:cs="Calibri"/>
                <w:sz w:val="18"/>
                <w:szCs w:val="18"/>
              </w:rPr>
            </w:pPr>
            <w:r w:rsidRPr="00441580">
              <w:rPr>
                <w:rFonts w:ascii="Garamond" w:hAnsi="Garamond" w:cs="Calibri"/>
                <w:sz w:val="18"/>
                <w:szCs w:val="18"/>
              </w:rPr>
              <w:t>-1,0</w:t>
            </w:r>
          </w:p>
        </w:tc>
      </w:tr>
      <w:tr w:rsidR="00D77B0E" w:rsidRPr="00441580" w:rsidTr="00D73F13">
        <w:trPr>
          <w:trHeight w:val="240"/>
        </w:trPr>
        <w:tc>
          <w:tcPr>
            <w:tcW w:w="1080" w:type="dxa"/>
            <w:tcBorders>
              <w:top w:val="single" w:sz="4" w:space="0" w:color="auto"/>
              <w:left w:val="nil"/>
              <w:bottom w:val="single" w:sz="4" w:space="0" w:color="auto"/>
              <w:right w:val="nil"/>
            </w:tcBorders>
            <w:shd w:val="clear" w:color="auto" w:fill="auto"/>
            <w:noWrap/>
            <w:vAlign w:val="center"/>
            <w:hideMark/>
          </w:tcPr>
          <w:p w:rsidR="00D77B0E" w:rsidRPr="00441580" w:rsidRDefault="00D77B0E" w:rsidP="00D73F13">
            <w:pPr>
              <w:rPr>
                <w:rFonts w:ascii="Garamond" w:hAnsi="Garamond" w:cs="Calibri"/>
                <w:b/>
                <w:bCs/>
                <w:color w:val="000000"/>
                <w:sz w:val="18"/>
                <w:szCs w:val="18"/>
              </w:rPr>
            </w:pPr>
            <w:r w:rsidRPr="00441580">
              <w:rPr>
                <w:rFonts w:ascii="Garamond" w:hAnsi="Garamond" w:cs="Calibri"/>
                <w:b/>
                <w:bCs/>
                <w:color w:val="000000"/>
                <w:sz w:val="18"/>
                <w:szCs w:val="18"/>
              </w:rPr>
              <w:t>Lombardia</w:t>
            </w:r>
          </w:p>
        </w:tc>
        <w:tc>
          <w:tcPr>
            <w:tcW w:w="96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ind w:firstLineChars="100" w:firstLine="181"/>
              <w:rPr>
                <w:rFonts w:ascii="Garamond" w:hAnsi="Garamond" w:cs="Calibri"/>
                <w:b/>
                <w:bCs/>
                <w:sz w:val="18"/>
                <w:szCs w:val="18"/>
              </w:rPr>
            </w:pPr>
            <w:r w:rsidRPr="00441580">
              <w:rPr>
                <w:rFonts w:ascii="Garamond" w:hAnsi="Garamond" w:cs="Calibri"/>
                <w:b/>
                <w:bCs/>
                <w:sz w:val="18"/>
                <w:szCs w:val="18"/>
              </w:rPr>
              <w:t>19.511,8</w:t>
            </w:r>
          </w:p>
        </w:tc>
        <w:tc>
          <w:tcPr>
            <w:tcW w:w="96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ind w:firstLineChars="100" w:firstLine="181"/>
              <w:rPr>
                <w:rFonts w:ascii="Garamond" w:hAnsi="Garamond" w:cs="Calibri"/>
                <w:b/>
                <w:bCs/>
                <w:sz w:val="18"/>
                <w:szCs w:val="18"/>
              </w:rPr>
            </w:pPr>
            <w:r w:rsidRPr="00441580">
              <w:rPr>
                <w:rFonts w:ascii="Garamond" w:hAnsi="Garamond" w:cs="Calibri"/>
                <w:b/>
                <w:bCs/>
                <w:sz w:val="18"/>
                <w:szCs w:val="18"/>
              </w:rPr>
              <w:t>20.713,7</w:t>
            </w:r>
          </w:p>
        </w:tc>
        <w:tc>
          <w:tcPr>
            <w:tcW w:w="96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ind w:firstLineChars="100" w:firstLine="181"/>
              <w:rPr>
                <w:rFonts w:ascii="Garamond" w:hAnsi="Garamond" w:cs="Calibri"/>
                <w:b/>
                <w:bCs/>
                <w:sz w:val="18"/>
                <w:szCs w:val="18"/>
              </w:rPr>
            </w:pPr>
            <w:r w:rsidRPr="00441580">
              <w:rPr>
                <w:rFonts w:ascii="Garamond" w:hAnsi="Garamond" w:cs="Calibri"/>
                <w:b/>
                <w:bCs/>
                <w:sz w:val="18"/>
                <w:szCs w:val="18"/>
              </w:rPr>
              <w:t>19.685,1</w:t>
            </w:r>
          </w:p>
        </w:tc>
        <w:tc>
          <w:tcPr>
            <w:tcW w:w="96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ind w:firstLineChars="100" w:firstLine="181"/>
              <w:rPr>
                <w:rFonts w:ascii="Garamond" w:hAnsi="Garamond" w:cs="Calibri"/>
                <w:b/>
                <w:bCs/>
                <w:sz w:val="18"/>
                <w:szCs w:val="18"/>
              </w:rPr>
            </w:pPr>
            <w:r w:rsidRPr="00441580">
              <w:rPr>
                <w:rFonts w:ascii="Garamond" w:hAnsi="Garamond" w:cs="Calibri"/>
                <w:b/>
                <w:bCs/>
                <w:sz w:val="18"/>
                <w:szCs w:val="18"/>
              </w:rPr>
              <w:t>19.723,9</w:t>
            </w:r>
          </w:p>
        </w:tc>
        <w:tc>
          <w:tcPr>
            <w:tcW w:w="72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1,1</w:t>
            </w:r>
          </w:p>
        </w:tc>
        <w:tc>
          <w:tcPr>
            <w:tcW w:w="72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-4,8</w:t>
            </w:r>
          </w:p>
        </w:tc>
        <w:tc>
          <w:tcPr>
            <w:tcW w:w="720" w:type="dxa"/>
            <w:tcBorders>
              <w:top w:val="single" w:sz="4" w:space="0" w:color="auto"/>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0,2</w:t>
            </w:r>
          </w:p>
        </w:tc>
      </w:tr>
      <w:tr w:rsidR="00D77B0E" w:rsidRPr="00441580" w:rsidTr="00D73F13">
        <w:trPr>
          <w:trHeight w:val="240"/>
        </w:trPr>
        <w:tc>
          <w:tcPr>
            <w:tcW w:w="1080" w:type="dxa"/>
            <w:tcBorders>
              <w:top w:val="nil"/>
              <w:left w:val="nil"/>
              <w:bottom w:val="single" w:sz="4" w:space="0" w:color="auto"/>
              <w:right w:val="nil"/>
            </w:tcBorders>
            <w:shd w:val="clear" w:color="auto" w:fill="auto"/>
            <w:noWrap/>
            <w:vAlign w:val="center"/>
            <w:hideMark/>
          </w:tcPr>
          <w:p w:rsidR="00D77B0E" w:rsidRPr="00441580" w:rsidRDefault="00D77B0E" w:rsidP="00D73F13">
            <w:pPr>
              <w:rPr>
                <w:rFonts w:ascii="Garamond" w:hAnsi="Garamond" w:cs="Calibri"/>
                <w:b/>
                <w:bCs/>
                <w:color w:val="000000"/>
                <w:sz w:val="18"/>
                <w:szCs w:val="18"/>
              </w:rPr>
            </w:pPr>
            <w:r w:rsidRPr="00441580">
              <w:rPr>
                <w:rFonts w:ascii="Garamond" w:hAnsi="Garamond" w:cs="Calibri"/>
                <w:b/>
                <w:bCs/>
                <w:color w:val="000000"/>
                <w:sz w:val="18"/>
                <w:szCs w:val="18"/>
              </w:rPr>
              <w:t>Italia</w:t>
            </w:r>
          </w:p>
        </w:tc>
        <w:tc>
          <w:tcPr>
            <w:tcW w:w="960" w:type="dxa"/>
            <w:tcBorders>
              <w:top w:val="nil"/>
              <w:left w:val="nil"/>
              <w:bottom w:val="single" w:sz="4" w:space="0" w:color="auto"/>
              <w:right w:val="nil"/>
            </w:tcBorders>
            <w:shd w:val="clear" w:color="auto" w:fill="auto"/>
            <w:vAlign w:val="center"/>
            <w:hideMark/>
          </w:tcPr>
          <w:p w:rsidR="00D77B0E" w:rsidRPr="00441580" w:rsidRDefault="00D77B0E" w:rsidP="00D73F13">
            <w:pPr>
              <w:ind w:firstLineChars="100" w:firstLine="181"/>
              <w:rPr>
                <w:rFonts w:ascii="Garamond" w:hAnsi="Garamond" w:cs="Calibri"/>
                <w:b/>
                <w:bCs/>
                <w:sz w:val="18"/>
                <w:szCs w:val="18"/>
              </w:rPr>
            </w:pPr>
            <w:r w:rsidRPr="00441580">
              <w:rPr>
                <w:rFonts w:ascii="Garamond" w:hAnsi="Garamond" w:cs="Calibri"/>
                <w:b/>
                <w:bCs/>
                <w:sz w:val="18"/>
                <w:szCs w:val="18"/>
              </w:rPr>
              <w:t>16.115,1</w:t>
            </w:r>
          </w:p>
        </w:tc>
        <w:tc>
          <w:tcPr>
            <w:tcW w:w="960" w:type="dxa"/>
            <w:tcBorders>
              <w:top w:val="nil"/>
              <w:left w:val="nil"/>
              <w:bottom w:val="single" w:sz="4" w:space="0" w:color="auto"/>
              <w:right w:val="nil"/>
            </w:tcBorders>
            <w:shd w:val="clear" w:color="auto" w:fill="auto"/>
            <w:vAlign w:val="center"/>
            <w:hideMark/>
          </w:tcPr>
          <w:p w:rsidR="00D77B0E" w:rsidRPr="00441580" w:rsidRDefault="00D77B0E" w:rsidP="00D73F13">
            <w:pPr>
              <w:ind w:firstLineChars="100" w:firstLine="181"/>
              <w:rPr>
                <w:rFonts w:ascii="Garamond" w:hAnsi="Garamond" w:cs="Calibri"/>
                <w:b/>
                <w:bCs/>
                <w:sz w:val="18"/>
                <w:szCs w:val="18"/>
              </w:rPr>
            </w:pPr>
            <w:r w:rsidRPr="00441580">
              <w:rPr>
                <w:rFonts w:ascii="Garamond" w:hAnsi="Garamond" w:cs="Calibri"/>
                <w:b/>
                <w:bCs/>
                <w:sz w:val="18"/>
                <w:szCs w:val="18"/>
              </w:rPr>
              <w:t>17.526,5</w:t>
            </w:r>
          </w:p>
        </w:tc>
        <w:tc>
          <w:tcPr>
            <w:tcW w:w="960" w:type="dxa"/>
            <w:tcBorders>
              <w:top w:val="nil"/>
              <w:left w:val="nil"/>
              <w:bottom w:val="single" w:sz="4" w:space="0" w:color="auto"/>
              <w:right w:val="nil"/>
            </w:tcBorders>
            <w:shd w:val="clear" w:color="auto" w:fill="auto"/>
            <w:vAlign w:val="center"/>
            <w:hideMark/>
          </w:tcPr>
          <w:p w:rsidR="00D77B0E" w:rsidRPr="00441580" w:rsidRDefault="00D77B0E" w:rsidP="00D73F13">
            <w:pPr>
              <w:ind w:firstLineChars="100" w:firstLine="181"/>
              <w:rPr>
                <w:rFonts w:ascii="Garamond" w:hAnsi="Garamond" w:cs="Calibri"/>
                <w:b/>
                <w:bCs/>
                <w:sz w:val="18"/>
                <w:szCs w:val="18"/>
              </w:rPr>
            </w:pPr>
            <w:r w:rsidRPr="00441580">
              <w:rPr>
                <w:rFonts w:ascii="Garamond" w:hAnsi="Garamond" w:cs="Calibri"/>
                <w:b/>
                <w:bCs/>
                <w:sz w:val="18"/>
                <w:szCs w:val="18"/>
              </w:rPr>
              <w:t>16.954,8</w:t>
            </w:r>
          </w:p>
        </w:tc>
        <w:tc>
          <w:tcPr>
            <w:tcW w:w="960" w:type="dxa"/>
            <w:tcBorders>
              <w:top w:val="nil"/>
              <w:left w:val="nil"/>
              <w:bottom w:val="single" w:sz="4" w:space="0" w:color="auto"/>
              <w:right w:val="nil"/>
            </w:tcBorders>
            <w:shd w:val="clear" w:color="auto" w:fill="auto"/>
            <w:vAlign w:val="center"/>
            <w:hideMark/>
          </w:tcPr>
          <w:p w:rsidR="00D77B0E" w:rsidRPr="00441580" w:rsidRDefault="00D77B0E" w:rsidP="00D73F13">
            <w:pPr>
              <w:ind w:firstLineChars="100" w:firstLine="181"/>
              <w:rPr>
                <w:rFonts w:ascii="Garamond" w:hAnsi="Garamond" w:cs="Calibri"/>
                <w:b/>
                <w:bCs/>
                <w:sz w:val="18"/>
                <w:szCs w:val="18"/>
              </w:rPr>
            </w:pPr>
            <w:r w:rsidRPr="00441580">
              <w:rPr>
                <w:rFonts w:ascii="Garamond" w:hAnsi="Garamond" w:cs="Calibri"/>
                <w:b/>
                <w:bCs/>
                <w:sz w:val="18"/>
                <w:szCs w:val="18"/>
              </w:rPr>
              <w:t>17.028,5</w:t>
            </w:r>
          </w:p>
        </w:tc>
        <w:tc>
          <w:tcPr>
            <w:tcW w:w="720" w:type="dxa"/>
            <w:tcBorders>
              <w:top w:val="nil"/>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5,7</w:t>
            </w:r>
          </w:p>
        </w:tc>
        <w:tc>
          <w:tcPr>
            <w:tcW w:w="720" w:type="dxa"/>
            <w:tcBorders>
              <w:top w:val="nil"/>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-2,8</w:t>
            </w:r>
          </w:p>
        </w:tc>
        <w:tc>
          <w:tcPr>
            <w:tcW w:w="720" w:type="dxa"/>
            <w:tcBorders>
              <w:top w:val="nil"/>
              <w:left w:val="nil"/>
              <w:bottom w:val="single" w:sz="4" w:space="0" w:color="auto"/>
              <w:right w:val="nil"/>
            </w:tcBorders>
            <w:shd w:val="clear" w:color="auto" w:fill="auto"/>
            <w:vAlign w:val="center"/>
            <w:hideMark/>
          </w:tcPr>
          <w:p w:rsidR="00D77B0E" w:rsidRPr="00441580" w:rsidRDefault="00D77B0E" w:rsidP="00D73F13">
            <w:pPr>
              <w:jc w:val="center"/>
              <w:rPr>
                <w:rFonts w:ascii="Garamond" w:hAnsi="Garamond" w:cs="Calibri"/>
                <w:b/>
                <w:bCs/>
                <w:sz w:val="18"/>
                <w:szCs w:val="18"/>
              </w:rPr>
            </w:pPr>
            <w:r w:rsidRPr="00441580">
              <w:rPr>
                <w:rFonts w:ascii="Garamond" w:hAnsi="Garamond" w:cs="Calibri"/>
                <w:b/>
                <w:bCs/>
                <w:sz w:val="18"/>
                <w:szCs w:val="18"/>
              </w:rPr>
              <w:t>0,4</w:t>
            </w:r>
          </w:p>
        </w:tc>
      </w:tr>
    </w:tbl>
    <w:p w:rsidR="00D77B0E" w:rsidRPr="00441580" w:rsidRDefault="00D77B0E" w:rsidP="00D77B0E">
      <w:pPr>
        <w:rPr>
          <w:rFonts w:asciiTheme="majorHAnsi" w:hAnsiTheme="majorHAnsi"/>
          <w:i/>
          <w:iCs/>
          <w:sz w:val="18"/>
          <w:szCs w:val="18"/>
        </w:rPr>
      </w:pPr>
      <w:r w:rsidRPr="00441580">
        <w:rPr>
          <w:rFonts w:asciiTheme="majorHAnsi" w:hAnsiTheme="majorHAnsi"/>
          <w:i/>
          <w:iCs/>
          <w:sz w:val="18"/>
          <w:szCs w:val="18"/>
        </w:rPr>
        <w:t>Fonte: Istituto Guglielmo Tagliacarne</w:t>
      </w:r>
    </w:p>
    <w:p w:rsidR="00D77B0E" w:rsidRPr="000F56E0" w:rsidRDefault="00D77B0E" w:rsidP="00D77B0E">
      <w:pPr>
        <w:spacing w:before="360" w:after="240" w:line="360" w:lineRule="auto"/>
        <w:jc w:val="both"/>
        <w:rPr>
          <w:rStyle w:val="current"/>
        </w:rPr>
      </w:pPr>
      <w:r>
        <w:rPr>
          <w:rStyle w:val="current"/>
        </w:rPr>
        <w:t>N</w:t>
      </w:r>
      <w:r w:rsidRPr="000F56E0">
        <w:rPr>
          <w:rStyle w:val="current"/>
        </w:rPr>
        <w:t xml:space="preserve">el 2011 gli importi medi lordi per giornata lavorativa dei lavoratori dipendenti (addetti privati non agricoli assicurati presso l’Inps) della provincia di </w:t>
      </w:r>
      <w:r>
        <w:rPr>
          <w:rStyle w:val="current"/>
        </w:rPr>
        <w:t>Bergamo</w:t>
      </w:r>
      <w:r w:rsidRPr="000F56E0">
        <w:rPr>
          <w:rStyle w:val="current"/>
        </w:rPr>
        <w:t xml:space="preserve"> sono risultati tra i più alti a livello regionale (pari a 8</w:t>
      </w:r>
      <w:r>
        <w:rPr>
          <w:rStyle w:val="current"/>
        </w:rPr>
        <w:t>6</w:t>
      </w:r>
      <w:r w:rsidRPr="000F56E0">
        <w:rPr>
          <w:rStyle w:val="current"/>
        </w:rPr>
        <w:t>,6 euro giornalieri, valore inferiore alle prestazioni rilevate nelle province di Milano</w:t>
      </w:r>
      <w:r>
        <w:rPr>
          <w:rStyle w:val="current"/>
        </w:rPr>
        <w:t>,</w:t>
      </w:r>
      <w:r w:rsidRPr="000F56E0">
        <w:rPr>
          <w:rStyle w:val="current"/>
        </w:rPr>
        <w:t xml:space="preserve"> Varese</w:t>
      </w:r>
      <w:r>
        <w:rPr>
          <w:rStyle w:val="current"/>
        </w:rPr>
        <w:t>, Lecco</w:t>
      </w:r>
      <w:r w:rsidRPr="000F56E0">
        <w:rPr>
          <w:rStyle w:val="current"/>
        </w:rPr>
        <w:t xml:space="preserve">); nella provincia di </w:t>
      </w:r>
      <w:r>
        <w:rPr>
          <w:rStyle w:val="current"/>
        </w:rPr>
        <w:t>Bergamo</w:t>
      </w:r>
      <w:r w:rsidRPr="000F56E0">
        <w:rPr>
          <w:rStyle w:val="current"/>
        </w:rPr>
        <w:t xml:space="preserve">, grazie anche alla forte tradizione di relazioni industriali nel settore manifatturiero, si osservano gli importi medi lordi </w:t>
      </w:r>
      <w:r>
        <w:rPr>
          <w:rStyle w:val="current"/>
        </w:rPr>
        <w:t xml:space="preserve">tra i </w:t>
      </w:r>
      <w:r w:rsidRPr="000F56E0">
        <w:rPr>
          <w:rStyle w:val="current"/>
        </w:rPr>
        <w:t>più elevati considerando la sola categoria degli operai (7</w:t>
      </w:r>
      <w:r>
        <w:rPr>
          <w:rStyle w:val="current"/>
        </w:rPr>
        <w:t>3</w:t>
      </w:r>
      <w:r w:rsidRPr="000F56E0">
        <w:rPr>
          <w:rStyle w:val="current"/>
        </w:rPr>
        <w:t xml:space="preserve">,4 euro a fronte dei 71,7 rilevati  a livello regionale). </w:t>
      </w:r>
    </w:p>
    <w:p w:rsidR="00D77B0E" w:rsidRDefault="00D77B0E" w:rsidP="00D77B0E">
      <w:pPr>
        <w:rPr>
          <w:rFonts w:ascii="Garamond" w:hAnsi="Garamond" w:cs="Verdana"/>
          <w:b/>
          <w:sz w:val="20"/>
          <w:szCs w:val="20"/>
        </w:rPr>
      </w:pPr>
    </w:p>
    <w:p w:rsidR="00D77B0E" w:rsidRDefault="00D77B0E" w:rsidP="00D77B0E">
      <w:pPr>
        <w:rPr>
          <w:rFonts w:ascii="Garamond" w:hAnsi="Garamond" w:cs="Verdana"/>
          <w:b/>
          <w:sz w:val="22"/>
          <w:szCs w:val="22"/>
        </w:rPr>
      </w:pPr>
      <w:r w:rsidRPr="006C536B">
        <w:rPr>
          <w:rFonts w:ascii="Garamond" w:hAnsi="Garamond" w:cs="Verdana"/>
          <w:b/>
          <w:sz w:val="20"/>
          <w:szCs w:val="20"/>
        </w:rPr>
        <w:t>Lavoratori dipendenti privati non agricoli assicurati presso l’INPS. Importi medi per giornata lavorativa, anno 2011. Valori in Euro</w:t>
      </w:r>
      <w:r w:rsidRPr="006C536B">
        <w:rPr>
          <w:rFonts w:ascii="Garamond" w:hAnsi="Garamond" w:cs="Verdana"/>
          <w:b/>
          <w:sz w:val="22"/>
          <w:szCs w:val="22"/>
        </w:rPr>
        <w:t>.</w:t>
      </w:r>
    </w:p>
    <w:tbl>
      <w:tblPr>
        <w:tblW w:w="6820" w:type="dxa"/>
        <w:tblInd w:w="55" w:type="dxa"/>
        <w:tblCellMar>
          <w:left w:w="70" w:type="dxa"/>
          <w:right w:w="70" w:type="dxa"/>
        </w:tblCellMar>
        <w:tblLook w:val="04A0"/>
      </w:tblPr>
      <w:tblGrid>
        <w:gridCol w:w="1060"/>
        <w:gridCol w:w="960"/>
        <w:gridCol w:w="960"/>
        <w:gridCol w:w="960"/>
        <w:gridCol w:w="960"/>
        <w:gridCol w:w="960"/>
        <w:gridCol w:w="960"/>
      </w:tblGrid>
      <w:tr w:rsidR="00D77B0E" w:rsidRPr="006C536B" w:rsidTr="00D73F13">
        <w:trPr>
          <w:trHeight w:val="480"/>
        </w:trPr>
        <w:tc>
          <w:tcPr>
            <w:tcW w:w="10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rPr>
                <w:rFonts w:ascii="Garamond" w:hAnsi="Garamond" w:cs="Calibri"/>
                <w:b/>
                <w:bCs/>
                <w:color w:val="000000"/>
                <w:sz w:val="18"/>
                <w:szCs w:val="18"/>
              </w:rPr>
            </w:pPr>
            <w:r w:rsidRPr="006C536B">
              <w:rPr>
                <w:rFonts w:ascii="Garamond" w:hAnsi="Garamond" w:cs="Calibri"/>
                <w:b/>
                <w:bCs/>
                <w:color w:val="000000"/>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Totale (*)</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Operai</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Impiegati</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Quadri</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Dirigenti</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Operai e Impiegati</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89,1</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73,3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93,8</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202,9</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387,1</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82,4</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Como</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86,5</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72,9</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93,3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202,4</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372,9</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81,4</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79,7</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72,5</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86,2</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194,4</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533,5</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76,9</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Milano</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109,6</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69,3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102,1</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208,7</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485,3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88,2</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4472BA" w:rsidRDefault="00D77B0E" w:rsidP="00D73F13">
            <w:pPr>
              <w:rPr>
                <w:rFonts w:ascii="Garamond" w:hAnsi="Garamond" w:cs="Calibri"/>
                <w:b/>
                <w:color w:val="000000"/>
                <w:sz w:val="18"/>
                <w:szCs w:val="18"/>
              </w:rPr>
            </w:pPr>
            <w:r w:rsidRPr="004472BA">
              <w:rPr>
                <w:rFonts w:ascii="Garamond" w:hAnsi="Garamond" w:cs="Calibri"/>
                <w:b/>
                <w:color w:val="000000"/>
                <w:sz w:val="18"/>
                <w:szCs w:val="18"/>
              </w:rPr>
              <w:t>Bergamo</w:t>
            </w:r>
          </w:p>
        </w:tc>
        <w:tc>
          <w:tcPr>
            <w:tcW w:w="960" w:type="dxa"/>
            <w:tcBorders>
              <w:top w:val="nil"/>
              <w:left w:val="nil"/>
              <w:bottom w:val="nil"/>
              <w:right w:val="nil"/>
            </w:tcBorders>
            <w:shd w:val="clear" w:color="auto" w:fill="auto"/>
            <w:noWrap/>
            <w:vAlign w:val="bottom"/>
            <w:hideMark/>
          </w:tcPr>
          <w:p w:rsidR="00D77B0E" w:rsidRPr="004472BA" w:rsidRDefault="00D77B0E" w:rsidP="00D73F13">
            <w:pPr>
              <w:jc w:val="center"/>
              <w:rPr>
                <w:rFonts w:ascii="Garamond" w:hAnsi="Garamond" w:cs="Calibri"/>
                <w:b/>
                <w:color w:val="000000"/>
                <w:sz w:val="18"/>
                <w:szCs w:val="18"/>
              </w:rPr>
            </w:pPr>
            <w:r w:rsidRPr="004472BA">
              <w:rPr>
                <w:rFonts w:ascii="Garamond" w:hAnsi="Garamond" w:cs="Calibri"/>
                <w:b/>
                <w:color w:val="000000"/>
                <w:sz w:val="18"/>
                <w:szCs w:val="18"/>
              </w:rPr>
              <w:t>86,6</w:t>
            </w:r>
          </w:p>
        </w:tc>
        <w:tc>
          <w:tcPr>
            <w:tcW w:w="960" w:type="dxa"/>
            <w:tcBorders>
              <w:top w:val="nil"/>
              <w:left w:val="nil"/>
              <w:bottom w:val="nil"/>
              <w:right w:val="nil"/>
            </w:tcBorders>
            <w:shd w:val="clear" w:color="auto" w:fill="auto"/>
            <w:noWrap/>
            <w:vAlign w:val="bottom"/>
            <w:hideMark/>
          </w:tcPr>
          <w:p w:rsidR="00D77B0E" w:rsidRPr="004472BA" w:rsidRDefault="00D77B0E" w:rsidP="00D73F13">
            <w:pPr>
              <w:jc w:val="center"/>
              <w:rPr>
                <w:rFonts w:ascii="Garamond" w:hAnsi="Garamond" w:cs="Calibri"/>
                <w:b/>
                <w:color w:val="000000"/>
                <w:sz w:val="18"/>
                <w:szCs w:val="18"/>
              </w:rPr>
            </w:pPr>
            <w:r w:rsidRPr="004472BA">
              <w:rPr>
                <w:rFonts w:ascii="Garamond" w:hAnsi="Garamond" w:cs="Calibri"/>
                <w:b/>
                <w:color w:val="000000"/>
                <w:sz w:val="18"/>
                <w:szCs w:val="18"/>
              </w:rPr>
              <w:t>73,5</w:t>
            </w:r>
          </w:p>
        </w:tc>
        <w:tc>
          <w:tcPr>
            <w:tcW w:w="960" w:type="dxa"/>
            <w:tcBorders>
              <w:top w:val="nil"/>
              <w:left w:val="nil"/>
              <w:bottom w:val="nil"/>
              <w:right w:val="nil"/>
            </w:tcBorders>
            <w:shd w:val="clear" w:color="auto" w:fill="auto"/>
            <w:noWrap/>
            <w:vAlign w:val="bottom"/>
            <w:hideMark/>
          </w:tcPr>
          <w:p w:rsidR="00D77B0E" w:rsidRPr="004472BA" w:rsidRDefault="00D77B0E" w:rsidP="00D73F13">
            <w:pPr>
              <w:jc w:val="center"/>
              <w:rPr>
                <w:rFonts w:ascii="Garamond" w:hAnsi="Garamond" w:cs="Calibri"/>
                <w:b/>
                <w:color w:val="000000"/>
                <w:sz w:val="18"/>
                <w:szCs w:val="18"/>
              </w:rPr>
            </w:pPr>
            <w:r w:rsidRPr="004472BA">
              <w:rPr>
                <w:rFonts w:ascii="Garamond" w:hAnsi="Garamond" w:cs="Calibri"/>
                <w:b/>
                <w:color w:val="000000"/>
                <w:sz w:val="18"/>
                <w:szCs w:val="18"/>
              </w:rPr>
              <w:t>91,5</w:t>
            </w:r>
          </w:p>
        </w:tc>
        <w:tc>
          <w:tcPr>
            <w:tcW w:w="960" w:type="dxa"/>
            <w:tcBorders>
              <w:top w:val="nil"/>
              <w:left w:val="nil"/>
              <w:bottom w:val="nil"/>
              <w:right w:val="nil"/>
            </w:tcBorders>
            <w:shd w:val="clear" w:color="auto" w:fill="auto"/>
            <w:noWrap/>
            <w:vAlign w:val="bottom"/>
            <w:hideMark/>
          </w:tcPr>
          <w:p w:rsidR="00D77B0E" w:rsidRPr="004472BA" w:rsidRDefault="00D77B0E" w:rsidP="00D73F13">
            <w:pPr>
              <w:jc w:val="center"/>
              <w:rPr>
                <w:rFonts w:ascii="Garamond" w:hAnsi="Garamond" w:cs="Calibri"/>
                <w:b/>
                <w:color w:val="000000"/>
                <w:sz w:val="18"/>
                <w:szCs w:val="18"/>
              </w:rPr>
            </w:pPr>
            <w:r w:rsidRPr="004472BA">
              <w:rPr>
                <w:rFonts w:ascii="Garamond" w:hAnsi="Garamond" w:cs="Calibri"/>
                <w:b/>
                <w:color w:val="000000"/>
                <w:sz w:val="18"/>
                <w:szCs w:val="18"/>
              </w:rPr>
              <w:t>204,0</w:t>
            </w:r>
          </w:p>
        </w:tc>
        <w:tc>
          <w:tcPr>
            <w:tcW w:w="960" w:type="dxa"/>
            <w:tcBorders>
              <w:top w:val="nil"/>
              <w:left w:val="nil"/>
              <w:bottom w:val="nil"/>
              <w:right w:val="nil"/>
            </w:tcBorders>
            <w:shd w:val="clear" w:color="auto" w:fill="auto"/>
            <w:noWrap/>
            <w:vAlign w:val="bottom"/>
            <w:hideMark/>
          </w:tcPr>
          <w:p w:rsidR="00D77B0E" w:rsidRPr="004472BA" w:rsidRDefault="00D77B0E" w:rsidP="00D73F13">
            <w:pPr>
              <w:jc w:val="center"/>
              <w:rPr>
                <w:rFonts w:ascii="Garamond" w:hAnsi="Garamond" w:cs="Calibri"/>
                <w:b/>
                <w:color w:val="000000"/>
                <w:sz w:val="18"/>
                <w:szCs w:val="18"/>
              </w:rPr>
            </w:pPr>
            <w:r w:rsidRPr="004472BA">
              <w:rPr>
                <w:rFonts w:ascii="Garamond" w:hAnsi="Garamond" w:cs="Calibri"/>
                <w:b/>
                <w:color w:val="000000"/>
                <w:sz w:val="18"/>
                <w:szCs w:val="18"/>
              </w:rPr>
              <w:t>417,1</w:t>
            </w:r>
          </w:p>
        </w:tc>
        <w:tc>
          <w:tcPr>
            <w:tcW w:w="960" w:type="dxa"/>
            <w:tcBorders>
              <w:top w:val="nil"/>
              <w:left w:val="nil"/>
              <w:bottom w:val="nil"/>
              <w:right w:val="nil"/>
            </w:tcBorders>
            <w:shd w:val="clear" w:color="auto" w:fill="auto"/>
            <w:noWrap/>
            <w:vAlign w:val="bottom"/>
            <w:hideMark/>
          </w:tcPr>
          <w:p w:rsidR="00D77B0E" w:rsidRPr="004472BA" w:rsidRDefault="00D77B0E" w:rsidP="00D73F13">
            <w:pPr>
              <w:jc w:val="center"/>
              <w:rPr>
                <w:rFonts w:ascii="Garamond" w:hAnsi="Garamond" w:cs="Calibri"/>
                <w:b/>
                <w:color w:val="000000"/>
                <w:sz w:val="18"/>
                <w:szCs w:val="18"/>
              </w:rPr>
            </w:pPr>
            <w:r w:rsidRPr="004472BA">
              <w:rPr>
                <w:rFonts w:ascii="Garamond" w:hAnsi="Garamond" w:cs="Calibri"/>
                <w:b/>
                <w:color w:val="000000"/>
                <w:sz w:val="18"/>
                <w:szCs w:val="18"/>
              </w:rPr>
              <w:t>80,6</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Brescia</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83,3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73,4</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90,8</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201,0</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382,8</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80,0</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Pavia</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81,6</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68,9</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88,2</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190,7</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316,8</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76,8</w:t>
            </w:r>
          </w:p>
        </w:tc>
      </w:tr>
      <w:tr w:rsidR="00D77B0E" w:rsidRPr="006C536B" w:rsidTr="00D73F13">
        <w:trPr>
          <w:trHeight w:val="240"/>
        </w:trPr>
        <w:tc>
          <w:tcPr>
            <w:tcW w:w="1060" w:type="dxa"/>
            <w:tcBorders>
              <w:top w:val="nil"/>
              <w:left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Cremona</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84,3</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73,9</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90,0</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198,1</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394,1</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80,0</w:t>
            </w:r>
          </w:p>
        </w:tc>
      </w:tr>
      <w:tr w:rsidR="00D77B0E" w:rsidRPr="006C536B" w:rsidTr="00D73F13">
        <w:trPr>
          <w:trHeight w:val="240"/>
        </w:trPr>
        <w:tc>
          <w:tcPr>
            <w:tcW w:w="1060" w:type="dxa"/>
            <w:tcBorders>
              <w:left w:val="nil"/>
              <w:right w:val="nil"/>
            </w:tcBorders>
            <w:shd w:val="clear" w:color="auto" w:fill="auto"/>
            <w:noWrap/>
            <w:vAlign w:val="bottom"/>
            <w:hideMark/>
          </w:tcPr>
          <w:p w:rsidR="00D77B0E" w:rsidRPr="009F6ACC" w:rsidRDefault="00D77B0E" w:rsidP="00D73F13">
            <w:pPr>
              <w:rPr>
                <w:rFonts w:ascii="Garamond" w:hAnsi="Garamond" w:cs="Calibri"/>
                <w:bCs/>
                <w:color w:val="000000"/>
                <w:sz w:val="18"/>
                <w:szCs w:val="18"/>
              </w:rPr>
            </w:pPr>
            <w:r w:rsidRPr="009F6ACC">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83,8</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73,3</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91,1</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193,9</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395,6</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79,6</w:t>
            </w:r>
          </w:p>
        </w:tc>
      </w:tr>
      <w:tr w:rsidR="00D77B0E" w:rsidRPr="006C536B" w:rsidTr="00D73F13">
        <w:trPr>
          <w:trHeight w:val="240"/>
        </w:trPr>
        <w:tc>
          <w:tcPr>
            <w:tcW w:w="1060" w:type="dxa"/>
            <w:tcBorders>
              <w:left w:val="nil"/>
              <w:right w:val="nil"/>
            </w:tcBorders>
            <w:shd w:val="clear" w:color="auto" w:fill="auto"/>
            <w:noWrap/>
            <w:vAlign w:val="bottom"/>
            <w:hideMark/>
          </w:tcPr>
          <w:p w:rsidR="00D77B0E" w:rsidRPr="002F4583" w:rsidRDefault="00D77B0E" w:rsidP="00D73F13">
            <w:pPr>
              <w:rPr>
                <w:rFonts w:ascii="Garamond" w:hAnsi="Garamond" w:cs="Calibri"/>
                <w:color w:val="000000"/>
                <w:sz w:val="18"/>
                <w:szCs w:val="18"/>
              </w:rPr>
            </w:pPr>
            <w:r w:rsidRPr="002F4583">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88,6</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77,4</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93,6</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200,6</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390,9</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83,8</w:t>
            </w:r>
          </w:p>
        </w:tc>
      </w:tr>
      <w:tr w:rsidR="00D77B0E" w:rsidRPr="006C536B" w:rsidTr="00D73F13">
        <w:trPr>
          <w:trHeight w:val="240"/>
        </w:trPr>
        <w:tc>
          <w:tcPr>
            <w:tcW w:w="1060" w:type="dxa"/>
            <w:tcBorders>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Lodi</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85,6</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70,0</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89,6</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199,8</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407,6</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78,2</w:t>
            </w:r>
          </w:p>
        </w:tc>
      </w:tr>
      <w:tr w:rsidR="00D77B0E" w:rsidRPr="006C536B" w:rsidTr="00D73F13">
        <w:trPr>
          <w:trHeight w:val="165"/>
        </w:trPr>
        <w:tc>
          <w:tcPr>
            <w:tcW w:w="10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r>
      <w:tr w:rsidR="00D77B0E" w:rsidRPr="006C536B" w:rsidTr="00D73F13">
        <w:trPr>
          <w:trHeight w:val="240"/>
        </w:trPr>
        <w:tc>
          <w:tcPr>
            <w:tcW w:w="1060" w:type="dxa"/>
            <w:tcBorders>
              <w:top w:val="nil"/>
              <w:left w:val="nil"/>
              <w:bottom w:val="single" w:sz="4" w:space="0" w:color="auto"/>
              <w:right w:val="nil"/>
            </w:tcBorders>
            <w:shd w:val="clear" w:color="auto" w:fill="auto"/>
            <w:noWrap/>
            <w:vAlign w:val="bottom"/>
            <w:hideMark/>
          </w:tcPr>
          <w:p w:rsidR="00D77B0E" w:rsidRPr="006C536B" w:rsidRDefault="00D77B0E" w:rsidP="00D73F13">
            <w:pPr>
              <w:rPr>
                <w:rFonts w:ascii="Garamond" w:hAnsi="Garamond" w:cs="Calibri"/>
                <w:b/>
                <w:bCs/>
                <w:color w:val="000000"/>
                <w:sz w:val="18"/>
                <w:szCs w:val="18"/>
              </w:rPr>
            </w:pPr>
            <w:r w:rsidRPr="006C536B">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97,2</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71,7</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97,4</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206,7</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462,6</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84,1</w:t>
            </w:r>
          </w:p>
        </w:tc>
      </w:tr>
    </w:tbl>
    <w:p w:rsidR="00D77B0E" w:rsidRPr="006C536B" w:rsidRDefault="00D77B0E" w:rsidP="00D77B0E">
      <w:pPr>
        <w:autoSpaceDE w:val="0"/>
        <w:autoSpaceDN w:val="0"/>
        <w:adjustRightInd w:val="0"/>
        <w:rPr>
          <w:rFonts w:asciiTheme="majorHAnsi" w:eastAsiaTheme="minorHAnsi" w:hAnsiTheme="majorHAnsi" w:cs="Garamond-Italic"/>
          <w:i/>
          <w:iCs/>
          <w:sz w:val="18"/>
          <w:szCs w:val="18"/>
          <w:lang w:eastAsia="en-US"/>
        </w:rPr>
      </w:pPr>
      <w:r w:rsidRPr="006C536B">
        <w:rPr>
          <w:rFonts w:asciiTheme="majorHAnsi" w:eastAsiaTheme="minorHAnsi" w:hAnsiTheme="majorHAnsi" w:cs="Garamond-Italic"/>
          <w:i/>
          <w:iCs/>
          <w:sz w:val="18"/>
          <w:szCs w:val="18"/>
          <w:lang w:eastAsia="en-US"/>
        </w:rPr>
        <w:t>Fonte: elaborazioni su dati INPS</w:t>
      </w:r>
    </w:p>
    <w:p w:rsidR="00D77B0E" w:rsidRDefault="00D77B0E" w:rsidP="00D77B0E">
      <w:pPr>
        <w:rPr>
          <w:rFonts w:asciiTheme="majorHAnsi" w:eastAsiaTheme="minorHAnsi" w:hAnsiTheme="majorHAnsi" w:cs="Garamond-Italic"/>
          <w:i/>
          <w:iCs/>
          <w:sz w:val="18"/>
          <w:szCs w:val="18"/>
          <w:lang w:eastAsia="en-US"/>
        </w:rPr>
      </w:pPr>
      <w:r w:rsidRPr="006C536B">
        <w:rPr>
          <w:rFonts w:asciiTheme="majorHAnsi" w:eastAsiaTheme="minorHAnsi" w:hAnsiTheme="majorHAnsi" w:cs="Garamond-Italic"/>
          <w:i/>
          <w:iCs/>
          <w:sz w:val="18"/>
          <w:szCs w:val="18"/>
          <w:lang w:eastAsia="en-US"/>
        </w:rPr>
        <w:t>(*) il totale comprende anche la categoria “apprendisti” ed “altro”</w:t>
      </w:r>
    </w:p>
    <w:p w:rsidR="00D77B0E" w:rsidRDefault="00D77B0E" w:rsidP="00D77B0E">
      <w:pPr>
        <w:rPr>
          <w:rFonts w:ascii="Garamond" w:hAnsi="Garamond" w:cs="Verdana"/>
          <w:b/>
          <w:sz w:val="20"/>
          <w:szCs w:val="20"/>
        </w:rPr>
      </w:pPr>
    </w:p>
    <w:p w:rsidR="00D77B0E" w:rsidRDefault="00D77B0E" w:rsidP="00D77B0E">
      <w:pPr>
        <w:rPr>
          <w:rFonts w:ascii="Garamond" w:hAnsi="Garamond" w:cs="Verdana"/>
          <w:b/>
          <w:sz w:val="20"/>
          <w:szCs w:val="20"/>
        </w:rPr>
      </w:pPr>
    </w:p>
    <w:p w:rsidR="00D77B0E" w:rsidRDefault="00D77B0E" w:rsidP="00D77B0E">
      <w:pPr>
        <w:rPr>
          <w:rFonts w:ascii="Garamond" w:hAnsi="Garamond" w:cs="Verdana"/>
          <w:b/>
          <w:sz w:val="22"/>
          <w:szCs w:val="22"/>
        </w:rPr>
      </w:pPr>
      <w:r w:rsidRPr="006C536B">
        <w:rPr>
          <w:rFonts w:ascii="Garamond" w:hAnsi="Garamond" w:cs="Verdana"/>
          <w:b/>
          <w:sz w:val="20"/>
          <w:szCs w:val="20"/>
        </w:rPr>
        <w:lastRenderedPageBreak/>
        <w:t>Lavoratori dipendenti privati non agricoli assicurati presso l’INPS. Importi medi per giornata lavorativa, anno 2011. Valori in Euro</w:t>
      </w:r>
      <w:r w:rsidRPr="006C536B">
        <w:rPr>
          <w:rFonts w:ascii="Garamond" w:hAnsi="Garamond" w:cs="Verdana"/>
          <w:b/>
          <w:sz w:val="22"/>
          <w:szCs w:val="22"/>
        </w:rPr>
        <w:t>.</w:t>
      </w:r>
    </w:p>
    <w:tbl>
      <w:tblPr>
        <w:tblW w:w="6820" w:type="dxa"/>
        <w:tblInd w:w="55" w:type="dxa"/>
        <w:tblCellMar>
          <w:left w:w="70" w:type="dxa"/>
          <w:right w:w="70" w:type="dxa"/>
        </w:tblCellMar>
        <w:tblLook w:val="04A0"/>
      </w:tblPr>
      <w:tblGrid>
        <w:gridCol w:w="1060"/>
        <w:gridCol w:w="960"/>
        <w:gridCol w:w="960"/>
        <w:gridCol w:w="960"/>
        <w:gridCol w:w="960"/>
        <w:gridCol w:w="960"/>
        <w:gridCol w:w="960"/>
      </w:tblGrid>
      <w:tr w:rsidR="00D77B0E" w:rsidRPr="006C536B" w:rsidTr="00D73F13">
        <w:trPr>
          <w:trHeight w:val="480"/>
        </w:trPr>
        <w:tc>
          <w:tcPr>
            <w:tcW w:w="10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rPr>
                <w:rFonts w:ascii="Garamond" w:hAnsi="Garamond" w:cs="Calibri"/>
                <w:b/>
                <w:bCs/>
                <w:color w:val="000000"/>
                <w:sz w:val="18"/>
                <w:szCs w:val="18"/>
              </w:rPr>
            </w:pPr>
            <w:r w:rsidRPr="006C536B">
              <w:rPr>
                <w:rFonts w:ascii="Garamond" w:hAnsi="Garamond" w:cs="Calibri"/>
                <w:b/>
                <w:bCs/>
                <w:color w:val="000000"/>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Totale (*)</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Operai</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Impiegati</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Quadri</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Dirigenti</w:t>
            </w:r>
          </w:p>
        </w:tc>
        <w:tc>
          <w:tcPr>
            <w:tcW w:w="960" w:type="dxa"/>
            <w:tcBorders>
              <w:top w:val="single" w:sz="4" w:space="0" w:color="auto"/>
              <w:left w:val="nil"/>
              <w:bottom w:val="single" w:sz="4" w:space="0" w:color="auto"/>
              <w:right w:val="nil"/>
            </w:tcBorders>
            <w:shd w:val="clear" w:color="auto" w:fill="auto"/>
            <w:vAlign w:val="center"/>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Operai e Impiegati</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89,1</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73,3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93,8</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202,9</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387,1</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82,4</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Como</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86,5</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72,9</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93,3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202,4</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372,9</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81,4</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79,7</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72,5</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86,2</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194,4</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533,5</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76,9</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Milano</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109,6</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69,3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102,1</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208,7</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485,3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88,2</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2F4583" w:rsidRDefault="00D77B0E" w:rsidP="00D73F13">
            <w:pPr>
              <w:rPr>
                <w:rFonts w:ascii="Garamond" w:hAnsi="Garamond" w:cs="Calibri"/>
                <w:b/>
                <w:color w:val="000000"/>
                <w:sz w:val="18"/>
                <w:szCs w:val="18"/>
              </w:rPr>
            </w:pPr>
            <w:r w:rsidRPr="002F4583">
              <w:rPr>
                <w:rFonts w:ascii="Garamond" w:hAnsi="Garamond" w:cs="Calibri"/>
                <w:b/>
                <w:color w:val="000000"/>
                <w:sz w:val="18"/>
                <w:szCs w:val="18"/>
              </w:rPr>
              <w:t>Bergamo</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86,6</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73,5</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91,5</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204,0</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417,1</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80,6</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Brescia</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83,3</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73,4</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90,8</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201,0</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382,8</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80,0</w:t>
            </w:r>
          </w:p>
        </w:tc>
      </w:tr>
      <w:tr w:rsidR="00D77B0E" w:rsidRPr="006C536B" w:rsidTr="00D73F13">
        <w:trPr>
          <w:trHeight w:val="240"/>
        </w:trPr>
        <w:tc>
          <w:tcPr>
            <w:tcW w:w="1060" w:type="dxa"/>
            <w:tcBorders>
              <w:top w:val="nil"/>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Pavia</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81,6</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68,9</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88,2</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190,7</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316,8</w:t>
            </w:r>
          </w:p>
        </w:tc>
        <w:tc>
          <w:tcPr>
            <w:tcW w:w="960" w:type="dxa"/>
            <w:tcBorders>
              <w:top w:val="nil"/>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76,8</w:t>
            </w:r>
          </w:p>
        </w:tc>
      </w:tr>
      <w:tr w:rsidR="00D77B0E" w:rsidRPr="006C536B" w:rsidTr="00D73F13">
        <w:trPr>
          <w:trHeight w:val="240"/>
        </w:trPr>
        <w:tc>
          <w:tcPr>
            <w:tcW w:w="1060" w:type="dxa"/>
            <w:tcBorders>
              <w:top w:val="nil"/>
              <w:left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Cremona</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84,3</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73,9</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90,0</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198,1</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394,1</w:t>
            </w:r>
          </w:p>
        </w:tc>
        <w:tc>
          <w:tcPr>
            <w:tcW w:w="960" w:type="dxa"/>
            <w:tcBorders>
              <w:top w:val="nil"/>
              <w:left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80,0</w:t>
            </w:r>
          </w:p>
        </w:tc>
      </w:tr>
      <w:tr w:rsidR="00D77B0E" w:rsidRPr="006C536B" w:rsidTr="00D73F13">
        <w:trPr>
          <w:trHeight w:val="240"/>
        </w:trPr>
        <w:tc>
          <w:tcPr>
            <w:tcW w:w="1060" w:type="dxa"/>
            <w:tcBorders>
              <w:left w:val="nil"/>
              <w:right w:val="nil"/>
            </w:tcBorders>
            <w:shd w:val="clear" w:color="auto" w:fill="auto"/>
            <w:noWrap/>
            <w:vAlign w:val="bottom"/>
            <w:hideMark/>
          </w:tcPr>
          <w:p w:rsidR="00D77B0E" w:rsidRPr="009F6ACC" w:rsidRDefault="00D77B0E" w:rsidP="00D73F13">
            <w:pPr>
              <w:rPr>
                <w:rFonts w:ascii="Garamond" w:hAnsi="Garamond" w:cs="Calibri"/>
                <w:bCs/>
                <w:color w:val="000000"/>
                <w:sz w:val="18"/>
                <w:szCs w:val="18"/>
              </w:rPr>
            </w:pPr>
            <w:r w:rsidRPr="009F6ACC">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83,8</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73,3</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91,1</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193,9</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395,6</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79,6</w:t>
            </w:r>
          </w:p>
        </w:tc>
      </w:tr>
      <w:tr w:rsidR="00D77B0E" w:rsidRPr="002F4583" w:rsidTr="00D73F13">
        <w:trPr>
          <w:trHeight w:val="240"/>
        </w:trPr>
        <w:tc>
          <w:tcPr>
            <w:tcW w:w="1060" w:type="dxa"/>
            <w:tcBorders>
              <w:left w:val="nil"/>
              <w:right w:val="nil"/>
            </w:tcBorders>
            <w:shd w:val="clear" w:color="auto" w:fill="auto"/>
            <w:noWrap/>
            <w:vAlign w:val="bottom"/>
            <w:hideMark/>
          </w:tcPr>
          <w:p w:rsidR="00D77B0E" w:rsidRPr="002F4583" w:rsidRDefault="00D77B0E" w:rsidP="00D73F13">
            <w:pPr>
              <w:rPr>
                <w:rFonts w:ascii="Garamond" w:hAnsi="Garamond" w:cs="Calibri"/>
                <w:color w:val="000000"/>
                <w:sz w:val="18"/>
                <w:szCs w:val="18"/>
              </w:rPr>
            </w:pPr>
            <w:r w:rsidRPr="002F4583">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88,6</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77,4</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93,6</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200,6</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390,9</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83,8</w:t>
            </w:r>
          </w:p>
        </w:tc>
      </w:tr>
      <w:tr w:rsidR="00D77B0E" w:rsidRPr="006C536B" w:rsidTr="00D73F13">
        <w:trPr>
          <w:trHeight w:val="240"/>
        </w:trPr>
        <w:tc>
          <w:tcPr>
            <w:tcW w:w="1060" w:type="dxa"/>
            <w:tcBorders>
              <w:left w:val="nil"/>
              <w:bottom w:val="nil"/>
              <w:right w:val="nil"/>
            </w:tcBorders>
            <w:shd w:val="clear" w:color="auto" w:fill="auto"/>
            <w:noWrap/>
            <w:vAlign w:val="bottom"/>
            <w:hideMark/>
          </w:tcPr>
          <w:p w:rsidR="00D77B0E" w:rsidRPr="006C536B" w:rsidRDefault="00D77B0E" w:rsidP="00D73F13">
            <w:pPr>
              <w:rPr>
                <w:rFonts w:ascii="Garamond" w:hAnsi="Garamond" w:cs="Calibri"/>
                <w:color w:val="000000"/>
                <w:sz w:val="18"/>
                <w:szCs w:val="18"/>
              </w:rPr>
            </w:pPr>
            <w:r w:rsidRPr="006C536B">
              <w:rPr>
                <w:rFonts w:ascii="Garamond" w:hAnsi="Garamond" w:cs="Calibri"/>
                <w:color w:val="000000"/>
                <w:sz w:val="18"/>
                <w:szCs w:val="18"/>
              </w:rPr>
              <w:t>Lodi</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85,6</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70,0</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89,6</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199,8</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407,6</w:t>
            </w:r>
          </w:p>
        </w:tc>
        <w:tc>
          <w:tcPr>
            <w:tcW w:w="960" w:type="dxa"/>
            <w:tcBorders>
              <w:left w:val="nil"/>
              <w:bottom w:val="nil"/>
              <w:right w:val="nil"/>
            </w:tcBorders>
            <w:shd w:val="clear" w:color="auto" w:fill="auto"/>
            <w:noWrap/>
            <w:vAlign w:val="bottom"/>
            <w:hideMark/>
          </w:tcPr>
          <w:p w:rsidR="00D77B0E" w:rsidRPr="006C536B" w:rsidRDefault="00D77B0E" w:rsidP="00D73F13">
            <w:pPr>
              <w:jc w:val="center"/>
              <w:rPr>
                <w:rFonts w:ascii="Garamond" w:hAnsi="Garamond" w:cs="Calibri"/>
                <w:color w:val="000000"/>
                <w:sz w:val="18"/>
                <w:szCs w:val="18"/>
              </w:rPr>
            </w:pPr>
            <w:r w:rsidRPr="006C536B">
              <w:rPr>
                <w:rFonts w:ascii="Garamond" w:hAnsi="Garamond" w:cs="Calibri"/>
                <w:color w:val="000000"/>
                <w:sz w:val="18"/>
                <w:szCs w:val="18"/>
              </w:rPr>
              <w:t>78,2</w:t>
            </w:r>
          </w:p>
        </w:tc>
      </w:tr>
      <w:tr w:rsidR="00D77B0E" w:rsidRPr="006C536B" w:rsidTr="00D73F13">
        <w:trPr>
          <w:trHeight w:val="165"/>
        </w:trPr>
        <w:tc>
          <w:tcPr>
            <w:tcW w:w="10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color w:val="000000"/>
                <w:sz w:val="10"/>
                <w:szCs w:val="10"/>
              </w:rPr>
            </w:pPr>
            <w:r w:rsidRPr="006C536B">
              <w:rPr>
                <w:rFonts w:ascii="Garamond" w:hAnsi="Garamond" w:cs="Calibri"/>
                <w:color w:val="000000"/>
                <w:sz w:val="10"/>
                <w:szCs w:val="10"/>
              </w:rPr>
              <w:t> </w:t>
            </w:r>
          </w:p>
        </w:tc>
      </w:tr>
      <w:tr w:rsidR="00D77B0E" w:rsidRPr="006C536B" w:rsidTr="00D73F13">
        <w:trPr>
          <w:trHeight w:val="240"/>
        </w:trPr>
        <w:tc>
          <w:tcPr>
            <w:tcW w:w="1060" w:type="dxa"/>
            <w:tcBorders>
              <w:top w:val="nil"/>
              <w:left w:val="nil"/>
              <w:bottom w:val="single" w:sz="4" w:space="0" w:color="auto"/>
              <w:right w:val="nil"/>
            </w:tcBorders>
            <w:shd w:val="clear" w:color="auto" w:fill="auto"/>
            <w:noWrap/>
            <w:vAlign w:val="bottom"/>
            <w:hideMark/>
          </w:tcPr>
          <w:p w:rsidR="00D77B0E" w:rsidRPr="006C536B" w:rsidRDefault="00D77B0E" w:rsidP="00D73F13">
            <w:pPr>
              <w:rPr>
                <w:rFonts w:ascii="Garamond" w:hAnsi="Garamond" w:cs="Calibri"/>
                <w:b/>
                <w:bCs/>
                <w:color w:val="000000"/>
                <w:sz w:val="18"/>
                <w:szCs w:val="18"/>
              </w:rPr>
            </w:pPr>
            <w:r w:rsidRPr="006C536B">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97,2</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71,7</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97,4</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206,7</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462,6</w:t>
            </w:r>
          </w:p>
        </w:tc>
        <w:tc>
          <w:tcPr>
            <w:tcW w:w="960" w:type="dxa"/>
            <w:tcBorders>
              <w:top w:val="nil"/>
              <w:left w:val="nil"/>
              <w:bottom w:val="single" w:sz="4" w:space="0" w:color="auto"/>
              <w:right w:val="nil"/>
            </w:tcBorders>
            <w:shd w:val="clear" w:color="auto" w:fill="auto"/>
            <w:noWrap/>
            <w:vAlign w:val="bottom"/>
            <w:hideMark/>
          </w:tcPr>
          <w:p w:rsidR="00D77B0E" w:rsidRPr="006C536B" w:rsidRDefault="00D77B0E" w:rsidP="00D73F13">
            <w:pPr>
              <w:jc w:val="center"/>
              <w:rPr>
                <w:rFonts w:ascii="Garamond" w:hAnsi="Garamond" w:cs="Calibri"/>
                <w:b/>
                <w:bCs/>
                <w:color w:val="000000"/>
                <w:sz w:val="18"/>
                <w:szCs w:val="18"/>
              </w:rPr>
            </w:pPr>
            <w:r w:rsidRPr="006C536B">
              <w:rPr>
                <w:rFonts w:ascii="Garamond" w:hAnsi="Garamond" w:cs="Calibri"/>
                <w:b/>
                <w:bCs/>
                <w:color w:val="000000"/>
                <w:sz w:val="18"/>
                <w:szCs w:val="18"/>
              </w:rPr>
              <w:t>84,1</w:t>
            </w:r>
          </w:p>
        </w:tc>
      </w:tr>
    </w:tbl>
    <w:p w:rsidR="00D77B0E" w:rsidRPr="006C536B" w:rsidRDefault="00D77B0E" w:rsidP="00D77B0E">
      <w:pPr>
        <w:autoSpaceDE w:val="0"/>
        <w:autoSpaceDN w:val="0"/>
        <w:adjustRightInd w:val="0"/>
        <w:rPr>
          <w:rFonts w:asciiTheme="majorHAnsi" w:eastAsiaTheme="minorHAnsi" w:hAnsiTheme="majorHAnsi" w:cs="Garamond-Italic"/>
          <w:i/>
          <w:iCs/>
          <w:sz w:val="18"/>
          <w:szCs w:val="18"/>
          <w:lang w:eastAsia="en-US"/>
        </w:rPr>
      </w:pPr>
      <w:r w:rsidRPr="006C536B">
        <w:rPr>
          <w:rFonts w:asciiTheme="majorHAnsi" w:eastAsiaTheme="minorHAnsi" w:hAnsiTheme="majorHAnsi" w:cs="Garamond-Italic"/>
          <w:i/>
          <w:iCs/>
          <w:sz w:val="18"/>
          <w:szCs w:val="18"/>
          <w:lang w:eastAsia="en-US"/>
        </w:rPr>
        <w:t>Fonte: elaborazioni su dati INPS</w:t>
      </w:r>
    </w:p>
    <w:p w:rsidR="00D77B0E" w:rsidRDefault="00D77B0E" w:rsidP="00D77B0E">
      <w:pPr>
        <w:rPr>
          <w:rFonts w:asciiTheme="majorHAnsi" w:eastAsiaTheme="minorHAnsi" w:hAnsiTheme="majorHAnsi" w:cs="Garamond-Italic"/>
          <w:i/>
          <w:iCs/>
          <w:sz w:val="18"/>
          <w:szCs w:val="18"/>
          <w:lang w:eastAsia="en-US"/>
        </w:rPr>
      </w:pPr>
      <w:r w:rsidRPr="006C536B">
        <w:rPr>
          <w:rFonts w:asciiTheme="majorHAnsi" w:eastAsiaTheme="minorHAnsi" w:hAnsiTheme="majorHAnsi" w:cs="Garamond-Italic"/>
          <w:i/>
          <w:iCs/>
          <w:sz w:val="18"/>
          <w:szCs w:val="18"/>
          <w:lang w:eastAsia="en-US"/>
        </w:rPr>
        <w:t>(*) il totale comprende anche la categoria “apprendisti” ed “altro”</w:t>
      </w:r>
    </w:p>
    <w:p w:rsidR="00D77B0E" w:rsidRDefault="00D77B0E" w:rsidP="00D77B0E">
      <w:pPr>
        <w:autoSpaceDE w:val="0"/>
        <w:autoSpaceDN w:val="0"/>
        <w:adjustRightInd w:val="0"/>
        <w:rPr>
          <w:rFonts w:ascii="Garamond" w:eastAsiaTheme="minorHAnsi" w:hAnsi="Garamond" w:cs="Garamond-Bold"/>
          <w:b/>
          <w:bCs/>
          <w:sz w:val="20"/>
          <w:szCs w:val="20"/>
          <w:lang w:eastAsia="en-US"/>
        </w:rPr>
      </w:pPr>
    </w:p>
    <w:p w:rsidR="00D77B0E" w:rsidRDefault="00D77B0E" w:rsidP="00D77B0E">
      <w:pPr>
        <w:autoSpaceDE w:val="0"/>
        <w:autoSpaceDN w:val="0"/>
        <w:adjustRightInd w:val="0"/>
        <w:rPr>
          <w:rFonts w:ascii="Garamond" w:eastAsiaTheme="minorHAnsi" w:hAnsi="Garamond" w:cs="Garamond-Bold"/>
          <w:b/>
          <w:bCs/>
          <w:sz w:val="20"/>
          <w:szCs w:val="20"/>
          <w:lang w:eastAsia="en-US"/>
        </w:rPr>
      </w:pPr>
    </w:p>
    <w:p w:rsidR="00D77B0E" w:rsidRDefault="00D77B0E" w:rsidP="00D77B0E">
      <w:pPr>
        <w:autoSpaceDE w:val="0"/>
        <w:autoSpaceDN w:val="0"/>
        <w:adjustRightInd w:val="0"/>
        <w:rPr>
          <w:rFonts w:ascii="Garamond" w:eastAsiaTheme="minorHAnsi" w:hAnsi="Garamond" w:cs="Garamond-Bold"/>
          <w:b/>
          <w:bCs/>
          <w:sz w:val="20"/>
          <w:szCs w:val="20"/>
          <w:lang w:eastAsia="en-US"/>
        </w:rPr>
      </w:pPr>
    </w:p>
    <w:p w:rsidR="00D77B0E" w:rsidRDefault="00D77B0E" w:rsidP="00D77B0E">
      <w:pPr>
        <w:autoSpaceDE w:val="0"/>
        <w:autoSpaceDN w:val="0"/>
        <w:adjustRightInd w:val="0"/>
        <w:rPr>
          <w:rFonts w:ascii="Garamond" w:eastAsiaTheme="minorHAnsi" w:hAnsi="Garamond" w:cs="Garamond-Bold"/>
          <w:b/>
          <w:bCs/>
          <w:sz w:val="20"/>
          <w:szCs w:val="20"/>
          <w:lang w:eastAsia="en-US"/>
        </w:rPr>
      </w:pPr>
    </w:p>
    <w:p w:rsidR="00D77B0E" w:rsidRPr="006C536B" w:rsidRDefault="00D77B0E" w:rsidP="00D77B0E">
      <w:pPr>
        <w:autoSpaceDE w:val="0"/>
        <w:autoSpaceDN w:val="0"/>
        <w:adjustRightInd w:val="0"/>
        <w:rPr>
          <w:rFonts w:ascii="Garamond" w:eastAsiaTheme="minorHAnsi" w:hAnsi="Garamond" w:cs="Garamond-Bold"/>
          <w:b/>
          <w:bCs/>
          <w:sz w:val="20"/>
          <w:szCs w:val="20"/>
          <w:lang w:eastAsia="en-US"/>
        </w:rPr>
      </w:pPr>
      <w:r w:rsidRPr="006C536B">
        <w:rPr>
          <w:rFonts w:ascii="Garamond" w:eastAsiaTheme="minorHAnsi" w:hAnsi="Garamond" w:cs="Garamond-Bold"/>
          <w:b/>
          <w:bCs/>
          <w:sz w:val="20"/>
          <w:szCs w:val="20"/>
          <w:lang w:eastAsia="en-US"/>
        </w:rPr>
        <w:t>Lavoratori dipendenti privati non agricoli assicurati presso l’INPS.</w:t>
      </w:r>
    </w:p>
    <w:p w:rsidR="00D77B0E" w:rsidRDefault="00D77B0E" w:rsidP="00D77B0E">
      <w:pPr>
        <w:rPr>
          <w:rFonts w:ascii="Garamond" w:eastAsiaTheme="minorHAnsi" w:hAnsi="Garamond" w:cs="Garamond-Bold"/>
          <w:b/>
          <w:bCs/>
          <w:sz w:val="20"/>
          <w:szCs w:val="20"/>
          <w:lang w:eastAsia="en-US"/>
        </w:rPr>
      </w:pPr>
      <w:r w:rsidRPr="006C536B">
        <w:rPr>
          <w:rFonts w:ascii="Garamond" w:eastAsiaTheme="minorHAnsi" w:hAnsi="Garamond" w:cs="Garamond-Bold"/>
          <w:b/>
          <w:bCs/>
          <w:sz w:val="20"/>
          <w:szCs w:val="20"/>
          <w:lang w:eastAsia="en-US"/>
        </w:rPr>
        <w:t>Variazione % 200</w:t>
      </w:r>
      <w:r>
        <w:rPr>
          <w:rFonts w:ascii="Garamond" w:eastAsiaTheme="minorHAnsi" w:hAnsi="Garamond" w:cs="Garamond-Bold"/>
          <w:b/>
          <w:bCs/>
          <w:sz w:val="20"/>
          <w:szCs w:val="20"/>
          <w:lang w:eastAsia="en-US"/>
        </w:rPr>
        <w:t>7</w:t>
      </w:r>
      <w:r w:rsidRPr="006C536B">
        <w:rPr>
          <w:rFonts w:ascii="Garamond" w:eastAsiaTheme="minorHAnsi" w:hAnsi="Garamond" w:cs="Garamond-Bold"/>
          <w:b/>
          <w:bCs/>
          <w:sz w:val="20"/>
          <w:szCs w:val="20"/>
          <w:lang w:eastAsia="en-US"/>
        </w:rPr>
        <w:t>/201</w:t>
      </w:r>
      <w:r>
        <w:rPr>
          <w:rFonts w:ascii="Garamond" w:eastAsiaTheme="minorHAnsi" w:hAnsi="Garamond" w:cs="Garamond-Bold"/>
          <w:b/>
          <w:bCs/>
          <w:sz w:val="20"/>
          <w:szCs w:val="20"/>
          <w:lang w:eastAsia="en-US"/>
        </w:rPr>
        <w:t>1</w:t>
      </w:r>
      <w:r w:rsidRPr="006C536B">
        <w:rPr>
          <w:rFonts w:ascii="Garamond" w:eastAsiaTheme="minorHAnsi" w:hAnsi="Garamond" w:cs="Garamond-Bold"/>
          <w:b/>
          <w:bCs/>
          <w:sz w:val="20"/>
          <w:szCs w:val="20"/>
          <w:lang w:eastAsia="en-US"/>
        </w:rPr>
        <w:t xml:space="preserve"> degli importi medi per giornata lavorativa.</w:t>
      </w:r>
    </w:p>
    <w:tbl>
      <w:tblPr>
        <w:tblW w:w="6820" w:type="dxa"/>
        <w:tblInd w:w="55" w:type="dxa"/>
        <w:tblCellMar>
          <w:left w:w="70" w:type="dxa"/>
          <w:right w:w="70" w:type="dxa"/>
        </w:tblCellMar>
        <w:tblLook w:val="04A0"/>
      </w:tblPr>
      <w:tblGrid>
        <w:gridCol w:w="1060"/>
        <w:gridCol w:w="960"/>
        <w:gridCol w:w="960"/>
        <w:gridCol w:w="960"/>
        <w:gridCol w:w="960"/>
        <w:gridCol w:w="960"/>
        <w:gridCol w:w="960"/>
      </w:tblGrid>
      <w:tr w:rsidR="00D77B0E" w:rsidTr="00D73F13">
        <w:trPr>
          <w:trHeight w:val="480"/>
        </w:trPr>
        <w:tc>
          <w:tcPr>
            <w:tcW w:w="1060" w:type="dxa"/>
            <w:tcBorders>
              <w:top w:val="single" w:sz="4" w:space="0" w:color="auto"/>
              <w:left w:val="nil"/>
              <w:bottom w:val="single" w:sz="4" w:space="0" w:color="auto"/>
              <w:right w:val="nil"/>
            </w:tcBorders>
            <w:shd w:val="clear" w:color="auto" w:fill="auto"/>
            <w:noWrap/>
            <w:vAlign w:val="bottom"/>
            <w:hideMark/>
          </w:tcPr>
          <w:p w:rsidR="00D77B0E" w:rsidRDefault="00D77B0E" w:rsidP="00D73F13">
            <w:pPr>
              <w:rPr>
                <w:rFonts w:ascii="Garamond" w:hAnsi="Garamond" w:cs="Calibri"/>
                <w:b/>
                <w:bCs/>
                <w:color w:val="000000"/>
                <w:sz w:val="18"/>
                <w:szCs w:val="18"/>
              </w:rPr>
            </w:pPr>
            <w:r>
              <w:rPr>
                <w:rFonts w:ascii="Garamond" w:hAnsi="Garamond" w:cs="Calibri"/>
                <w:b/>
                <w:bCs/>
                <w:color w:val="000000"/>
                <w:sz w:val="18"/>
                <w:szCs w:val="18"/>
              </w:rPr>
              <w:t> </w:t>
            </w:r>
          </w:p>
        </w:tc>
        <w:tc>
          <w:tcPr>
            <w:tcW w:w="960" w:type="dxa"/>
            <w:tcBorders>
              <w:top w:val="single" w:sz="4" w:space="0" w:color="auto"/>
              <w:left w:val="nil"/>
              <w:bottom w:val="single" w:sz="4" w:space="0" w:color="auto"/>
              <w:right w:val="nil"/>
            </w:tcBorders>
            <w:shd w:val="clear" w:color="auto" w:fill="auto"/>
            <w:vAlign w:val="center"/>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Totale (*)</w:t>
            </w:r>
          </w:p>
        </w:tc>
        <w:tc>
          <w:tcPr>
            <w:tcW w:w="960" w:type="dxa"/>
            <w:tcBorders>
              <w:top w:val="single" w:sz="4" w:space="0" w:color="auto"/>
              <w:left w:val="nil"/>
              <w:bottom w:val="single" w:sz="4" w:space="0" w:color="auto"/>
              <w:right w:val="nil"/>
            </w:tcBorders>
            <w:shd w:val="clear" w:color="auto" w:fill="auto"/>
            <w:vAlign w:val="center"/>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Operai</w:t>
            </w:r>
          </w:p>
        </w:tc>
        <w:tc>
          <w:tcPr>
            <w:tcW w:w="960" w:type="dxa"/>
            <w:tcBorders>
              <w:top w:val="single" w:sz="4" w:space="0" w:color="auto"/>
              <w:left w:val="nil"/>
              <w:bottom w:val="single" w:sz="4" w:space="0" w:color="auto"/>
              <w:right w:val="nil"/>
            </w:tcBorders>
            <w:shd w:val="clear" w:color="auto" w:fill="auto"/>
            <w:vAlign w:val="center"/>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Impiegati</w:t>
            </w:r>
          </w:p>
        </w:tc>
        <w:tc>
          <w:tcPr>
            <w:tcW w:w="960" w:type="dxa"/>
            <w:tcBorders>
              <w:top w:val="single" w:sz="4" w:space="0" w:color="auto"/>
              <w:left w:val="nil"/>
              <w:bottom w:val="single" w:sz="4" w:space="0" w:color="auto"/>
              <w:right w:val="nil"/>
            </w:tcBorders>
            <w:shd w:val="clear" w:color="auto" w:fill="auto"/>
            <w:vAlign w:val="center"/>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Quadri</w:t>
            </w:r>
          </w:p>
        </w:tc>
        <w:tc>
          <w:tcPr>
            <w:tcW w:w="960" w:type="dxa"/>
            <w:tcBorders>
              <w:top w:val="single" w:sz="4" w:space="0" w:color="auto"/>
              <w:left w:val="nil"/>
              <w:bottom w:val="single" w:sz="4" w:space="0" w:color="auto"/>
              <w:right w:val="nil"/>
            </w:tcBorders>
            <w:shd w:val="clear" w:color="auto" w:fill="auto"/>
            <w:vAlign w:val="center"/>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Dirigenti</w:t>
            </w:r>
          </w:p>
        </w:tc>
        <w:tc>
          <w:tcPr>
            <w:tcW w:w="960" w:type="dxa"/>
            <w:tcBorders>
              <w:top w:val="single" w:sz="4" w:space="0" w:color="auto"/>
              <w:left w:val="nil"/>
              <w:bottom w:val="single" w:sz="4" w:space="0" w:color="auto"/>
              <w:right w:val="nil"/>
            </w:tcBorders>
            <w:shd w:val="clear" w:color="auto" w:fill="auto"/>
            <w:vAlign w:val="center"/>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Operai e Impiegati</w:t>
            </w:r>
          </w:p>
        </w:tc>
      </w:tr>
      <w:tr w:rsidR="00D77B0E" w:rsidTr="00D73F13">
        <w:trPr>
          <w:trHeight w:val="240"/>
        </w:trPr>
        <w:tc>
          <w:tcPr>
            <w:tcW w:w="1060" w:type="dxa"/>
            <w:tcBorders>
              <w:top w:val="nil"/>
              <w:left w:val="nil"/>
              <w:bottom w:val="nil"/>
              <w:right w:val="nil"/>
            </w:tcBorders>
            <w:shd w:val="clear" w:color="auto" w:fill="auto"/>
            <w:noWrap/>
            <w:vAlign w:val="bottom"/>
            <w:hideMark/>
          </w:tcPr>
          <w:p w:rsidR="00D77B0E" w:rsidRDefault="00D77B0E" w:rsidP="00D73F13">
            <w:pPr>
              <w:rPr>
                <w:rFonts w:ascii="Garamond" w:hAnsi="Garamond" w:cs="Calibri"/>
                <w:color w:val="000000"/>
                <w:sz w:val="18"/>
                <w:szCs w:val="18"/>
              </w:rPr>
            </w:pPr>
            <w:r>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11,4</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9,9</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9,7</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10,0</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2,0</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10,5</w:t>
            </w:r>
          </w:p>
        </w:tc>
      </w:tr>
      <w:tr w:rsidR="00D77B0E" w:rsidTr="00D73F13">
        <w:trPr>
          <w:trHeight w:val="240"/>
        </w:trPr>
        <w:tc>
          <w:tcPr>
            <w:tcW w:w="1060" w:type="dxa"/>
            <w:tcBorders>
              <w:top w:val="nil"/>
              <w:left w:val="nil"/>
              <w:bottom w:val="nil"/>
              <w:right w:val="nil"/>
            </w:tcBorders>
            <w:shd w:val="clear" w:color="auto" w:fill="auto"/>
            <w:noWrap/>
            <w:vAlign w:val="bottom"/>
            <w:hideMark/>
          </w:tcPr>
          <w:p w:rsidR="00D77B0E" w:rsidRDefault="00D77B0E" w:rsidP="00D73F13">
            <w:pPr>
              <w:rPr>
                <w:rFonts w:ascii="Garamond" w:hAnsi="Garamond" w:cs="Calibri"/>
                <w:color w:val="000000"/>
                <w:sz w:val="18"/>
                <w:szCs w:val="18"/>
              </w:rPr>
            </w:pPr>
            <w:r>
              <w:rPr>
                <w:rFonts w:ascii="Garamond" w:hAnsi="Garamond" w:cs="Calibri"/>
                <w:color w:val="000000"/>
                <w:sz w:val="18"/>
                <w:szCs w:val="18"/>
              </w:rPr>
              <w:t>Como</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11,0</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9,1</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9,9</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8,2</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8,4</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10,1</w:t>
            </w:r>
          </w:p>
        </w:tc>
      </w:tr>
      <w:tr w:rsidR="00D77B0E" w:rsidTr="00D73F13">
        <w:trPr>
          <w:trHeight w:val="240"/>
        </w:trPr>
        <w:tc>
          <w:tcPr>
            <w:tcW w:w="1060" w:type="dxa"/>
            <w:tcBorders>
              <w:top w:val="nil"/>
              <w:left w:val="nil"/>
              <w:bottom w:val="nil"/>
              <w:right w:val="nil"/>
            </w:tcBorders>
            <w:shd w:val="clear" w:color="auto" w:fill="auto"/>
            <w:noWrap/>
            <w:vAlign w:val="bottom"/>
            <w:hideMark/>
          </w:tcPr>
          <w:p w:rsidR="00D77B0E" w:rsidRDefault="00D77B0E" w:rsidP="00D73F13">
            <w:pPr>
              <w:rPr>
                <w:rFonts w:ascii="Garamond" w:hAnsi="Garamond" w:cs="Calibri"/>
                <w:color w:val="000000"/>
                <w:sz w:val="18"/>
                <w:szCs w:val="18"/>
              </w:rPr>
            </w:pPr>
            <w:r>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12,7</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12,3</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9,9</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9,0</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10,0</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12,0</w:t>
            </w:r>
          </w:p>
        </w:tc>
      </w:tr>
      <w:tr w:rsidR="00D77B0E" w:rsidTr="00D73F13">
        <w:trPr>
          <w:trHeight w:val="240"/>
        </w:trPr>
        <w:tc>
          <w:tcPr>
            <w:tcW w:w="1060" w:type="dxa"/>
            <w:tcBorders>
              <w:top w:val="nil"/>
              <w:left w:val="nil"/>
              <w:bottom w:val="nil"/>
              <w:right w:val="nil"/>
            </w:tcBorders>
            <w:shd w:val="clear" w:color="auto" w:fill="auto"/>
            <w:noWrap/>
            <w:vAlign w:val="bottom"/>
            <w:hideMark/>
          </w:tcPr>
          <w:p w:rsidR="00D77B0E" w:rsidRDefault="00D77B0E" w:rsidP="00D73F13">
            <w:pPr>
              <w:rPr>
                <w:rFonts w:ascii="Garamond" w:hAnsi="Garamond" w:cs="Calibri"/>
                <w:color w:val="000000"/>
                <w:sz w:val="18"/>
                <w:szCs w:val="18"/>
              </w:rPr>
            </w:pPr>
            <w:r>
              <w:rPr>
                <w:rFonts w:ascii="Garamond" w:hAnsi="Garamond" w:cs="Calibri"/>
                <w:color w:val="000000"/>
                <w:sz w:val="18"/>
                <w:szCs w:val="18"/>
              </w:rPr>
              <w:t>Milano</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8,4</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7,6</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9,3</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7,4</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1,6</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9,2</w:t>
            </w:r>
          </w:p>
        </w:tc>
      </w:tr>
      <w:tr w:rsidR="00D77B0E" w:rsidRPr="002F4583" w:rsidTr="00D73F13">
        <w:trPr>
          <w:trHeight w:val="240"/>
        </w:trPr>
        <w:tc>
          <w:tcPr>
            <w:tcW w:w="1060" w:type="dxa"/>
            <w:tcBorders>
              <w:top w:val="nil"/>
              <w:left w:val="nil"/>
              <w:bottom w:val="nil"/>
              <w:right w:val="nil"/>
            </w:tcBorders>
            <w:shd w:val="clear" w:color="auto" w:fill="auto"/>
            <w:noWrap/>
            <w:vAlign w:val="bottom"/>
            <w:hideMark/>
          </w:tcPr>
          <w:p w:rsidR="00D77B0E" w:rsidRPr="002F4583" w:rsidRDefault="00D77B0E" w:rsidP="00D73F13">
            <w:pPr>
              <w:rPr>
                <w:rFonts w:ascii="Garamond" w:hAnsi="Garamond" w:cs="Calibri"/>
                <w:b/>
                <w:color w:val="000000"/>
                <w:sz w:val="18"/>
                <w:szCs w:val="18"/>
              </w:rPr>
            </w:pPr>
            <w:r w:rsidRPr="002F4583">
              <w:rPr>
                <w:rFonts w:ascii="Garamond" w:hAnsi="Garamond" w:cs="Calibri"/>
                <w:b/>
                <w:color w:val="000000"/>
                <w:sz w:val="18"/>
                <w:szCs w:val="18"/>
              </w:rPr>
              <w:t>Bergamo</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11,2</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10,0</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9,3</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7,7</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3,8</w:t>
            </w:r>
          </w:p>
        </w:tc>
        <w:tc>
          <w:tcPr>
            <w:tcW w:w="960"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10,4</w:t>
            </w:r>
          </w:p>
        </w:tc>
      </w:tr>
      <w:tr w:rsidR="00D77B0E" w:rsidTr="00D73F13">
        <w:trPr>
          <w:trHeight w:val="240"/>
        </w:trPr>
        <w:tc>
          <w:tcPr>
            <w:tcW w:w="1060" w:type="dxa"/>
            <w:tcBorders>
              <w:top w:val="nil"/>
              <w:left w:val="nil"/>
              <w:bottom w:val="nil"/>
              <w:right w:val="nil"/>
            </w:tcBorders>
            <w:shd w:val="clear" w:color="auto" w:fill="auto"/>
            <w:noWrap/>
            <w:vAlign w:val="bottom"/>
            <w:hideMark/>
          </w:tcPr>
          <w:p w:rsidR="00D77B0E" w:rsidRDefault="00D77B0E" w:rsidP="00D73F13">
            <w:pPr>
              <w:rPr>
                <w:rFonts w:ascii="Garamond" w:hAnsi="Garamond" w:cs="Calibri"/>
                <w:color w:val="000000"/>
                <w:sz w:val="18"/>
                <w:szCs w:val="18"/>
              </w:rPr>
            </w:pPr>
            <w:r>
              <w:rPr>
                <w:rFonts w:ascii="Garamond" w:hAnsi="Garamond" w:cs="Calibri"/>
                <w:color w:val="000000"/>
                <w:sz w:val="18"/>
                <w:szCs w:val="18"/>
              </w:rPr>
              <w:t>Brescia</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10,9</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10,0</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9,2</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8,3</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3,4</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10,3</w:t>
            </w:r>
          </w:p>
        </w:tc>
      </w:tr>
      <w:tr w:rsidR="00D77B0E" w:rsidTr="00D73F13">
        <w:trPr>
          <w:trHeight w:val="240"/>
        </w:trPr>
        <w:tc>
          <w:tcPr>
            <w:tcW w:w="1060" w:type="dxa"/>
            <w:tcBorders>
              <w:top w:val="nil"/>
              <w:left w:val="nil"/>
              <w:bottom w:val="nil"/>
              <w:right w:val="nil"/>
            </w:tcBorders>
            <w:shd w:val="clear" w:color="auto" w:fill="auto"/>
            <w:noWrap/>
            <w:vAlign w:val="bottom"/>
            <w:hideMark/>
          </w:tcPr>
          <w:p w:rsidR="00D77B0E" w:rsidRDefault="00D77B0E" w:rsidP="00D73F13">
            <w:pPr>
              <w:rPr>
                <w:rFonts w:ascii="Garamond" w:hAnsi="Garamond" w:cs="Calibri"/>
                <w:color w:val="000000"/>
                <w:sz w:val="18"/>
                <w:szCs w:val="18"/>
              </w:rPr>
            </w:pPr>
            <w:r>
              <w:rPr>
                <w:rFonts w:ascii="Garamond" w:hAnsi="Garamond" w:cs="Calibri"/>
                <w:color w:val="000000"/>
                <w:sz w:val="18"/>
                <w:szCs w:val="18"/>
              </w:rPr>
              <w:t>Pavia</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10,4</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9,3</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6,9</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9,2</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-6,3</w:t>
            </w:r>
          </w:p>
        </w:tc>
        <w:tc>
          <w:tcPr>
            <w:tcW w:w="960" w:type="dxa"/>
            <w:tcBorders>
              <w:top w:val="nil"/>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8,6</w:t>
            </w:r>
          </w:p>
        </w:tc>
      </w:tr>
      <w:tr w:rsidR="00D77B0E" w:rsidTr="00D73F13">
        <w:trPr>
          <w:trHeight w:val="240"/>
        </w:trPr>
        <w:tc>
          <w:tcPr>
            <w:tcW w:w="1060" w:type="dxa"/>
            <w:tcBorders>
              <w:top w:val="nil"/>
              <w:left w:val="nil"/>
              <w:right w:val="nil"/>
            </w:tcBorders>
            <w:shd w:val="clear" w:color="auto" w:fill="auto"/>
            <w:noWrap/>
            <w:vAlign w:val="bottom"/>
            <w:hideMark/>
          </w:tcPr>
          <w:p w:rsidR="00D77B0E" w:rsidRDefault="00D77B0E" w:rsidP="00D73F13">
            <w:pPr>
              <w:rPr>
                <w:rFonts w:ascii="Garamond" w:hAnsi="Garamond" w:cs="Calibri"/>
                <w:color w:val="000000"/>
                <w:sz w:val="18"/>
                <w:szCs w:val="18"/>
              </w:rPr>
            </w:pPr>
            <w:r>
              <w:rPr>
                <w:rFonts w:ascii="Garamond" w:hAnsi="Garamond" w:cs="Calibri"/>
                <w:color w:val="000000"/>
                <w:sz w:val="18"/>
                <w:szCs w:val="18"/>
              </w:rPr>
              <w:t>Cremona</w:t>
            </w:r>
          </w:p>
        </w:tc>
        <w:tc>
          <w:tcPr>
            <w:tcW w:w="960" w:type="dxa"/>
            <w:tcBorders>
              <w:top w:val="nil"/>
              <w:left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12,5</w:t>
            </w:r>
          </w:p>
        </w:tc>
        <w:tc>
          <w:tcPr>
            <w:tcW w:w="960" w:type="dxa"/>
            <w:tcBorders>
              <w:top w:val="nil"/>
              <w:left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11,8</w:t>
            </w:r>
          </w:p>
        </w:tc>
        <w:tc>
          <w:tcPr>
            <w:tcW w:w="960" w:type="dxa"/>
            <w:tcBorders>
              <w:top w:val="nil"/>
              <w:left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10,5</w:t>
            </w:r>
          </w:p>
        </w:tc>
        <w:tc>
          <w:tcPr>
            <w:tcW w:w="960" w:type="dxa"/>
            <w:tcBorders>
              <w:top w:val="nil"/>
              <w:left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9,9</w:t>
            </w:r>
          </w:p>
        </w:tc>
        <w:tc>
          <w:tcPr>
            <w:tcW w:w="960" w:type="dxa"/>
            <w:tcBorders>
              <w:top w:val="nil"/>
              <w:left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11,7</w:t>
            </w:r>
          </w:p>
        </w:tc>
        <w:tc>
          <w:tcPr>
            <w:tcW w:w="960" w:type="dxa"/>
            <w:tcBorders>
              <w:top w:val="nil"/>
              <w:left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11,7</w:t>
            </w:r>
          </w:p>
        </w:tc>
      </w:tr>
      <w:tr w:rsidR="00D77B0E" w:rsidTr="00D73F13">
        <w:trPr>
          <w:trHeight w:val="240"/>
        </w:trPr>
        <w:tc>
          <w:tcPr>
            <w:tcW w:w="1060" w:type="dxa"/>
            <w:tcBorders>
              <w:left w:val="nil"/>
              <w:right w:val="nil"/>
            </w:tcBorders>
            <w:shd w:val="clear" w:color="auto" w:fill="auto"/>
            <w:noWrap/>
            <w:vAlign w:val="bottom"/>
            <w:hideMark/>
          </w:tcPr>
          <w:p w:rsidR="00D77B0E" w:rsidRPr="009F6ACC" w:rsidRDefault="00D77B0E" w:rsidP="00D73F13">
            <w:pPr>
              <w:rPr>
                <w:rFonts w:ascii="Garamond" w:hAnsi="Garamond" w:cs="Calibri"/>
                <w:bCs/>
                <w:color w:val="000000"/>
                <w:sz w:val="18"/>
                <w:szCs w:val="18"/>
              </w:rPr>
            </w:pPr>
            <w:r w:rsidRPr="009F6ACC">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10,9</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10,2</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9,0</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8,8</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5,1</w:t>
            </w:r>
          </w:p>
        </w:tc>
        <w:tc>
          <w:tcPr>
            <w:tcW w:w="960"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10,2</w:t>
            </w:r>
          </w:p>
        </w:tc>
      </w:tr>
      <w:tr w:rsidR="00D77B0E" w:rsidRPr="002F4583" w:rsidTr="00D73F13">
        <w:trPr>
          <w:trHeight w:val="240"/>
        </w:trPr>
        <w:tc>
          <w:tcPr>
            <w:tcW w:w="1060" w:type="dxa"/>
            <w:tcBorders>
              <w:left w:val="nil"/>
              <w:right w:val="nil"/>
            </w:tcBorders>
            <w:shd w:val="clear" w:color="auto" w:fill="auto"/>
            <w:noWrap/>
            <w:vAlign w:val="bottom"/>
            <w:hideMark/>
          </w:tcPr>
          <w:p w:rsidR="00D77B0E" w:rsidRPr="002F4583" w:rsidRDefault="00D77B0E" w:rsidP="00D73F13">
            <w:pPr>
              <w:rPr>
                <w:rFonts w:ascii="Garamond" w:hAnsi="Garamond" w:cs="Calibri"/>
                <w:color w:val="000000"/>
                <w:sz w:val="18"/>
                <w:szCs w:val="18"/>
              </w:rPr>
            </w:pPr>
            <w:r w:rsidRPr="002F4583">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10,9</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9,9</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9,3</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9,2</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9,3</w:t>
            </w:r>
          </w:p>
        </w:tc>
        <w:tc>
          <w:tcPr>
            <w:tcW w:w="960"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10,2</w:t>
            </w:r>
          </w:p>
        </w:tc>
      </w:tr>
      <w:tr w:rsidR="00D77B0E" w:rsidTr="00D73F13">
        <w:trPr>
          <w:trHeight w:val="240"/>
        </w:trPr>
        <w:tc>
          <w:tcPr>
            <w:tcW w:w="1060" w:type="dxa"/>
            <w:tcBorders>
              <w:left w:val="nil"/>
              <w:bottom w:val="nil"/>
              <w:right w:val="nil"/>
            </w:tcBorders>
            <w:shd w:val="clear" w:color="auto" w:fill="auto"/>
            <w:noWrap/>
            <w:vAlign w:val="bottom"/>
            <w:hideMark/>
          </w:tcPr>
          <w:p w:rsidR="00D77B0E" w:rsidRDefault="00D77B0E" w:rsidP="00D73F13">
            <w:pPr>
              <w:rPr>
                <w:rFonts w:ascii="Garamond" w:hAnsi="Garamond" w:cs="Calibri"/>
                <w:color w:val="000000"/>
                <w:sz w:val="18"/>
                <w:szCs w:val="18"/>
              </w:rPr>
            </w:pPr>
            <w:r>
              <w:rPr>
                <w:rFonts w:ascii="Garamond" w:hAnsi="Garamond" w:cs="Calibri"/>
                <w:color w:val="000000"/>
                <w:sz w:val="18"/>
                <w:szCs w:val="18"/>
              </w:rPr>
              <w:t>Lodi</w:t>
            </w:r>
          </w:p>
        </w:tc>
        <w:tc>
          <w:tcPr>
            <w:tcW w:w="960" w:type="dxa"/>
            <w:tcBorders>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10,5</w:t>
            </w:r>
          </w:p>
        </w:tc>
        <w:tc>
          <w:tcPr>
            <w:tcW w:w="960" w:type="dxa"/>
            <w:tcBorders>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9,6</w:t>
            </w:r>
          </w:p>
        </w:tc>
        <w:tc>
          <w:tcPr>
            <w:tcW w:w="960" w:type="dxa"/>
            <w:tcBorders>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10,3</w:t>
            </w:r>
          </w:p>
        </w:tc>
        <w:tc>
          <w:tcPr>
            <w:tcW w:w="960" w:type="dxa"/>
            <w:tcBorders>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8,6</w:t>
            </w:r>
          </w:p>
        </w:tc>
        <w:tc>
          <w:tcPr>
            <w:tcW w:w="960" w:type="dxa"/>
            <w:tcBorders>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2,4</w:t>
            </w:r>
          </w:p>
        </w:tc>
        <w:tc>
          <w:tcPr>
            <w:tcW w:w="960" w:type="dxa"/>
            <w:tcBorders>
              <w:left w:val="nil"/>
              <w:bottom w:val="nil"/>
              <w:right w:val="nil"/>
            </w:tcBorders>
            <w:shd w:val="clear" w:color="auto" w:fill="auto"/>
            <w:noWrap/>
            <w:vAlign w:val="bottom"/>
            <w:hideMark/>
          </w:tcPr>
          <w:p w:rsidR="00D77B0E" w:rsidRDefault="00D77B0E" w:rsidP="00D73F13">
            <w:pPr>
              <w:jc w:val="center"/>
              <w:rPr>
                <w:rFonts w:ascii="Garamond" w:hAnsi="Garamond" w:cs="Calibri"/>
                <w:color w:val="000000"/>
                <w:sz w:val="18"/>
                <w:szCs w:val="18"/>
              </w:rPr>
            </w:pPr>
            <w:r>
              <w:rPr>
                <w:rFonts w:ascii="Garamond" w:hAnsi="Garamond" w:cs="Calibri"/>
                <w:color w:val="000000"/>
                <w:sz w:val="18"/>
                <w:szCs w:val="18"/>
              </w:rPr>
              <w:t>10,2</w:t>
            </w:r>
          </w:p>
        </w:tc>
      </w:tr>
      <w:tr w:rsidR="00D77B0E" w:rsidTr="00D73F13">
        <w:trPr>
          <w:trHeight w:val="165"/>
        </w:trPr>
        <w:tc>
          <w:tcPr>
            <w:tcW w:w="1060" w:type="dxa"/>
            <w:tcBorders>
              <w:top w:val="single" w:sz="4" w:space="0" w:color="auto"/>
              <w:left w:val="nil"/>
              <w:bottom w:val="single" w:sz="4" w:space="0" w:color="auto"/>
              <w:right w:val="nil"/>
            </w:tcBorders>
            <w:shd w:val="clear" w:color="auto" w:fill="auto"/>
            <w:noWrap/>
            <w:vAlign w:val="bottom"/>
            <w:hideMark/>
          </w:tcPr>
          <w:p w:rsidR="00D77B0E" w:rsidRDefault="00D77B0E" w:rsidP="00D73F13">
            <w:pPr>
              <w:rPr>
                <w:rFonts w:ascii="Garamond" w:hAnsi="Garamond" w:cs="Calibri"/>
                <w:color w:val="000000"/>
                <w:sz w:val="10"/>
                <w:szCs w:val="10"/>
              </w:rPr>
            </w:pPr>
            <w:r>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color w:val="000000"/>
                <w:sz w:val="10"/>
                <w:szCs w:val="10"/>
              </w:rPr>
            </w:pPr>
            <w:r>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color w:val="000000"/>
                <w:sz w:val="10"/>
                <w:szCs w:val="10"/>
              </w:rPr>
            </w:pPr>
            <w:r>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color w:val="000000"/>
                <w:sz w:val="10"/>
                <w:szCs w:val="10"/>
              </w:rPr>
            </w:pPr>
            <w:r>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color w:val="000000"/>
                <w:sz w:val="10"/>
                <w:szCs w:val="10"/>
              </w:rPr>
            </w:pPr>
            <w:r>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color w:val="000000"/>
                <w:sz w:val="10"/>
                <w:szCs w:val="10"/>
              </w:rPr>
            </w:pPr>
            <w:r>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color w:val="000000"/>
                <w:sz w:val="10"/>
                <w:szCs w:val="10"/>
              </w:rPr>
            </w:pPr>
            <w:r>
              <w:rPr>
                <w:rFonts w:ascii="Garamond" w:hAnsi="Garamond" w:cs="Calibri"/>
                <w:color w:val="000000"/>
                <w:sz w:val="10"/>
                <w:szCs w:val="10"/>
              </w:rPr>
              <w:t> </w:t>
            </w:r>
          </w:p>
        </w:tc>
      </w:tr>
      <w:tr w:rsidR="00D77B0E" w:rsidTr="00D73F13">
        <w:trPr>
          <w:trHeight w:val="240"/>
        </w:trPr>
        <w:tc>
          <w:tcPr>
            <w:tcW w:w="1060" w:type="dxa"/>
            <w:tcBorders>
              <w:top w:val="nil"/>
              <w:left w:val="nil"/>
              <w:bottom w:val="single" w:sz="4" w:space="0" w:color="auto"/>
              <w:right w:val="nil"/>
            </w:tcBorders>
            <w:shd w:val="clear" w:color="auto" w:fill="auto"/>
            <w:noWrap/>
            <w:vAlign w:val="bottom"/>
            <w:hideMark/>
          </w:tcPr>
          <w:p w:rsidR="00D77B0E" w:rsidRDefault="00D77B0E" w:rsidP="00D73F13">
            <w:pPr>
              <w:rPr>
                <w:rFonts w:ascii="Garamond" w:hAnsi="Garamond" w:cs="Calibri"/>
                <w:b/>
                <w:bCs/>
                <w:color w:val="000000"/>
                <w:sz w:val="18"/>
                <w:szCs w:val="18"/>
              </w:rPr>
            </w:pPr>
            <w:r>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9,8</w:t>
            </w:r>
          </w:p>
        </w:tc>
        <w:tc>
          <w:tcPr>
            <w:tcW w:w="960" w:type="dxa"/>
            <w:tcBorders>
              <w:top w:val="nil"/>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9,1</w:t>
            </w:r>
          </w:p>
        </w:tc>
        <w:tc>
          <w:tcPr>
            <w:tcW w:w="960" w:type="dxa"/>
            <w:tcBorders>
              <w:top w:val="nil"/>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9,2</w:t>
            </w:r>
          </w:p>
        </w:tc>
        <w:tc>
          <w:tcPr>
            <w:tcW w:w="960" w:type="dxa"/>
            <w:tcBorders>
              <w:top w:val="nil"/>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7,7</w:t>
            </w:r>
          </w:p>
        </w:tc>
        <w:tc>
          <w:tcPr>
            <w:tcW w:w="960" w:type="dxa"/>
            <w:tcBorders>
              <w:top w:val="nil"/>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1,9</w:t>
            </w:r>
          </w:p>
        </w:tc>
        <w:tc>
          <w:tcPr>
            <w:tcW w:w="960" w:type="dxa"/>
            <w:tcBorders>
              <w:top w:val="nil"/>
              <w:left w:val="nil"/>
              <w:bottom w:val="single" w:sz="4" w:space="0" w:color="auto"/>
              <w:right w:val="nil"/>
            </w:tcBorders>
            <w:shd w:val="clear" w:color="auto" w:fill="auto"/>
            <w:noWrap/>
            <w:vAlign w:val="bottom"/>
            <w:hideMark/>
          </w:tcPr>
          <w:p w:rsidR="00D77B0E" w:rsidRDefault="00D77B0E" w:rsidP="00D73F13">
            <w:pPr>
              <w:jc w:val="center"/>
              <w:rPr>
                <w:rFonts w:ascii="Garamond" w:hAnsi="Garamond" w:cs="Calibri"/>
                <w:b/>
                <w:bCs/>
                <w:color w:val="000000"/>
                <w:sz w:val="18"/>
                <w:szCs w:val="18"/>
              </w:rPr>
            </w:pPr>
            <w:r>
              <w:rPr>
                <w:rFonts w:ascii="Garamond" w:hAnsi="Garamond" w:cs="Calibri"/>
                <w:b/>
                <w:bCs/>
                <w:color w:val="000000"/>
                <w:sz w:val="18"/>
                <w:szCs w:val="18"/>
              </w:rPr>
              <w:t>9,8</w:t>
            </w:r>
          </w:p>
        </w:tc>
      </w:tr>
    </w:tbl>
    <w:p w:rsidR="00D77B0E" w:rsidRPr="006C536B" w:rsidRDefault="00D77B0E" w:rsidP="00D77B0E">
      <w:pPr>
        <w:autoSpaceDE w:val="0"/>
        <w:autoSpaceDN w:val="0"/>
        <w:adjustRightInd w:val="0"/>
        <w:rPr>
          <w:rFonts w:asciiTheme="majorHAnsi" w:eastAsiaTheme="minorHAnsi" w:hAnsiTheme="majorHAnsi" w:cs="Garamond-Italic"/>
          <w:i/>
          <w:iCs/>
          <w:sz w:val="18"/>
          <w:szCs w:val="18"/>
          <w:lang w:eastAsia="en-US"/>
        </w:rPr>
      </w:pPr>
      <w:r w:rsidRPr="006C536B">
        <w:rPr>
          <w:rFonts w:asciiTheme="majorHAnsi" w:eastAsiaTheme="minorHAnsi" w:hAnsiTheme="majorHAnsi" w:cs="Garamond-Italic"/>
          <w:i/>
          <w:iCs/>
          <w:sz w:val="18"/>
          <w:szCs w:val="18"/>
          <w:lang w:eastAsia="en-US"/>
        </w:rPr>
        <w:t>Fonte: elaborazioni su dati INPS</w:t>
      </w:r>
    </w:p>
    <w:p w:rsidR="00D77B0E" w:rsidRDefault="00D77B0E" w:rsidP="00D77B0E">
      <w:pPr>
        <w:rPr>
          <w:rFonts w:asciiTheme="majorHAnsi" w:eastAsiaTheme="minorHAnsi" w:hAnsiTheme="majorHAnsi" w:cs="Garamond-Italic"/>
          <w:i/>
          <w:iCs/>
          <w:sz w:val="18"/>
          <w:szCs w:val="18"/>
          <w:lang w:eastAsia="en-US"/>
        </w:rPr>
      </w:pPr>
      <w:r w:rsidRPr="006C536B">
        <w:rPr>
          <w:rFonts w:asciiTheme="majorHAnsi" w:eastAsiaTheme="minorHAnsi" w:hAnsiTheme="majorHAnsi" w:cs="Garamond-Italic"/>
          <w:i/>
          <w:iCs/>
          <w:sz w:val="18"/>
          <w:szCs w:val="18"/>
          <w:lang w:eastAsia="en-US"/>
        </w:rPr>
        <w:t>(*) il totale comprende anche la categoria “apprendisti” ed “altro”</w:t>
      </w:r>
    </w:p>
    <w:p w:rsidR="00D77B0E" w:rsidRPr="000F56E0" w:rsidRDefault="00D77B0E" w:rsidP="00D77B0E">
      <w:pPr>
        <w:autoSpaceDE w:val="0"/>
        <w:autoSpaceDN w:val="0"/>
        <w:adjustRightInd w:val="0"/>
        <w:spacing w:before="360" w:line="360" w:lineRule="auto"/>
        <w:jc w:val="both"/>
        <w:rPr>
          <w:rFonts w:eastAsiaTheme="minorHAnsi"/>
          <w:lang w:eastAsia="en-US"/>
        </w:rPr>
      </w:pPr>
      <w:r>
        <w:rPr>
          <w:rFonts w:eastAsiaTheme="minorHAnsi"/>
          <w:lang w:eastAsia="en-US"/>
        </w:rPr>
        <w:t xml:space="preserve">Tuttavia, anche in relazione alle caratteristiche morfologiche e produttive del territorio, in cui sono presenti quote importante di attività agricole e del terziario non specializzato,  gli </w:t>
      </w:r>
      <w:r w:rsidRPr="000F56E0">
        <w:rPr>
          <w:rFonts w:eastAsiaTheme="minorHAnsi"/>
          <w:lang w:eastAsia="en-US"/>
        </w:rPr>
        <w:t xml:space="preserve">importi medi delle pensioni di vecchiaia erogate agli anziani (oltre 65 anni) </w:t>
      </w:r>
      <w:r>
        <w:rPr>
          <w:rFonts w:eastAsiaTheme="minorHAnsi"/>
          <w:lang w:eastAsia="en-US"/>
        </w:rPr>
        <w:t xml:space="preserve">risultano tra i più bassi in assoluto a livello regionale. </w:t>
      </w:r>
      <w:r w:rsidRPr="000F56E0">
        <w:rPr>
          <w:rFonts w:eastAsiaTheme="minorHAnsi"/>
          <w:lang w:eastAsia="en-US"/>
        </w:rPr>
        <w:t xml:space="preserve">Il valore medio </w:t>
      </w:r>
      <w:r>
        <w:rPr>
          <w:rFonts w:eastAsiaTheme="minorHAnsi"/>
          <w:lang w:eastAsia="en-US"/>
        </w:rPr>
        <w:t xml:space="preserve">dell’importo mensile lordo </w:t>
      </w:r>
      <w:r w:rsidRPr="000F56E0">
        <w:rPr>
          <w:rFonts w:eastAsiaTheme="minorHAnsi"/>
          <w:lang w:eastAsia="en-US"/>
        </w:rPr>
        <w:t xml:space="preserve">del totale dei trattamenti di anzianità e di vecchiaia risulta infatti nella provincia pari a circa </w:t>
      </w:r>
      <w:r>
        <w:rPr>
          <w:rFonts w:eastAsiaTheme="minorHAnsi"/>
          <w:lang w:eastAsia="en-US"/>
        </w:rPr>
        <w:t>882</w:t>
      </w:r>
      <w:r w:rsidRPr="000F56E0">
        <w:rPr>
          <w:rFonts w:eastAsiaTheme="minorHAnsi"/>
          <w:lang w:eastAsia="en-US"/>
        </w:rPr>
        <w:t xml:space="preserve"> euro, un importo mensile </w:t>
      </w:r>
      <w:r>
        <w:rPr>
          <w:rFonts w:eastAsiaTheme="minorHAnsi"/>
          <w:lang w:eastAsia="en-US"/>
        </w:rPr>
        <w:t xml:space="preserve">superiore </w:t>
      </w:r>
      <w:r w:rsidRPr="000F56E0">
        <w:rPr>
          <w:rFonts w:eastAsiaTheme="minorHAnsi"/>
          <w:lang w:eastAsia="en-US"/>
        </w:rPr>
        <w:t xml:space="preserve">solamente a quelli registrati nelle province di </w:t>
      </w:r>
      <w:r>
        <w:rPr>
          <w:rFonts w:eastAsiaTheme="minorHAnsi"/>
          <w:lang w:eastAsia="en-US"/>
        </w:rPr>
        <w:t xml:space="preserve">Mantova e Sondrio. Ultimo in graduatoria regionale è </w:t>
      </w:r>
      <w:r w:rsidRPr="000F56E0">
        <w:rPr>
          <w:rFonts w:eastAsiaTheme="minorHAnsi"/>
          <w:lang w:eastAsia="en-US"/>
        </w:rPr>
        <w:t>invece, l’importo medio dei trattamenti previdenziali di vecchiaia, pari a 5</w:t>
      </w:r>
      <w:r>
        <w:rPr>
          <w:rFonts w:eastAsiaTheme="minorHAnsi"/>
          <w:lang w:eastAsia="en-US"/>
        </w:rPr>
        <w:t>30</w:t>
      </w:r>
      <w:r w:rsidRPr="000F56E0">
        <w:rPr>
          <w:rFonts w:eastAsiaTheme="minorHAnsi"/>
          <w:lang w:eastAsia="en-US"/>
        </w:rPr>
        <w:t xml:space="preserve"> euro a fronte dei 635,5 rilevati a livello Lombardia. </w:t>
      </w:r>
    </w:p>
    <w:p w:rsidR="00D77B0E" w:rsidRPr="000F56E0" w:rsidRDefault="00D77B0E" w:rsidP="00D77B0E">
      <w:pPr>
        <w:autoSpaceDE w:val="0"/>
        <w:autoSpaceDN w:val="0"/>
        <w:adjustRightInd w:val="0"/>
        <w:spacing w:line="360" w:lineRule="auto"/>
        <w:jc w:val="both"/>
        <w:rPr>
          <w:rFonts w:eastAsiaTheme="minorHAnsi"/>
          <w:lang w:eastAsia="en-US"/>
        </w:rPr>
      </w:pPr>
      <w:r w:rsidRPr="000F56E0">
        <w:rPr>
          <w:rFonts w:eastAsiaTheme="minorHAnsi"/>
          <w:lang w:eastAsia="en-US"/>
        </w:rPr>
        <w:lastRenderedPageBreak/>
        <w:t>In base alle elaborazioni sui dati Inps il grado di copertura delle pensioni a livello provinciale (totale trattamenti di anzianità, vecchiaia e prepensionamenti rispetto alla popolazione anziana) risulta nel</w:t>
      </w:r>
      <w:r>
        <w:rPr>
          <w:rFonts w:eastAsiaTheme="minorHAnsi"/>
          <w:lang w:eastAsia="en-US"/>
        </w:rPr>
        <w:t xml:space="preserve">la bergamasca </w:t>
      </w:r>
      <w:r w:rsidRPr="000F56E0">
        <w:rPr>
          <w:rFonts w:eastAsiaTheme="minorHAnsi"/>
          <w:lang w:eastAsia="en-US"/>
        </w:rPr>
        <w:t>(8</w:t>
      </w:r>
      <w:r>
        <w:rPr>
          <w:rFonts w:eastAsiaTheme="minorHAnsi"/>
          <w:lang w:eastAsia="en-US"/>
        </w:rPr>
        <w:t>33,4</w:t>
      </w:r>
      <w:r w:rsidRPr="000F56E0">
        <w:rPr>
          <w:rFonts w:eastAsiaTheme="minorHAnsi"/>
          <w:lang w:eastAsia="en-US"/>
        </w:rPr>
        <w:t xml:space="preserve"> trattamenti pensionistici ogni 1.000 anziani residenti) superiore al dato medio regionale (762,9).</w:t>
      </w:r>
    </w:p>
    <w:p w:rsidR="00D77B0E" w:rsidRPr="0079485F" w:rsidRDefault="00D77B0E" w:rsidP="00D77B0E">
      <w:pPr>
        <w:rPr>
          <w:rFonts w:ascii="Garamond" w:eastAsiaTheme="minorHAnsi" w:hAnsi="Garamond" w:cs="Garamond"/>
          <w:b/>
          <w:sz w:val="20"/>
          <w:szCs w:val="20"/>
          <w:lang w:eastAsia="en-US"/>
        </w:rPr>
      </w:pPr>
      <w:r w:rsidRPr="0079485F">
        <w:rPr>
          <w:rFonts w:ascii="Garamond" w:eastAsiaTheme="minorHAnsi" w:hAnsi="Garamond" w:cs="Garamond"/>
          <w:b/>
          <w:sz w:val="20"/>
          <w:szCs w:val="20"/>
          <w:lang w:eastAsia="en-US"/>
        </w:rPr>
        <w:t>Pensioni di vecchiaia erogate dall’INPS agli anziani.</w:t>
      </w:r>
    </w:p>
    <w:p w:rsidR="00D77B0E" w:rsidRPr="0079485F" w:rsidRDefault="00D77B0E" w:rsidP="00D77B0E">
      <w:pPr>
        <w:rPr>
          <w:rFonts w:ascii="Garamond" w:eastAsiaTheme="minorHAnsi" w:hAnsi="Garamond" w:cs="Garamond"/>
          <w:b/>
          <w:sz w:val="20"/>
          <w:szCs w:val="20"/>
          <w:lang w:eastAsia="en-US"/>
        </w:rPr>
      </w:pPr>
      <w:r w:rsidRPr="0079485F">
        <w:rPr>
          <w:rFonts w:ascii="Garamond" w:eastAsiaTheme="minorHAnsi" w:hAnsi="Garamond" w:cs="Garamond"/>
          <w:b/>
          <w:sz w:val="20"/>
          <w:szCs w:val="20"/>
          <w:lang w:eastAsia="en-US"/>
        </w:rPr>
        <w:t>Tasso ogni 1.000 anziani residenti, per sottocategoria, provincia e sesso. Anno 2012</w:t>
      </w:r>
    </w:p>
    <w:tbl>
      <w:tblPr>
        <w:tblW w:w="5000" w:type="pct"/>
        <w:tblCellMar>
          <w:left w:w="70" w:type="dxa"/>
          <w:right w:w="70" w:type="dxa"/>
        </w:tblCellMar>
        <w:tblLook w:val="04A0"/>
      </w:tblPr>
      <w:tblGrid>
        <w:gridCol w:w="1495"/>
        <w:gridCol w:w="1123"/>
        <w:gridCol w:w="919"/>
        <w:gridCol w:w="722"/>
        <w:gridCol w:w="1132"/>
        <w:gridCol w:w="900"/>
        <w:gridCol w:w="729"/>
        <w:gridCol w:w="1132"/>
        <w:gridCol w:w="900"/>
        <w:gridCol w:w="726"/>
      </w:tblGrid>
      <w:tr w:rsidR="00D77B0E" w:rsidRPr="0079485F" w:rsidTr="00D73F13">
        <w:trPr>
          <w:trHeight w:val="240"/>
        </w:trPr>
        <w:tc>
          <w:tcPr>
            <w:tcW w:w="764" w:type="pct"/>
            <w:vMerge w:val="restart"/>
            <w:tcBorders>
              <w:top w:val="single" w:sz="4" w:space="0" w:color="auto"/>
              <w:left w:val="nil"/>
              <w:bottom w:val="single" w:sz="4" w:space="0" w:color="000000"/>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 </w:t>
            </w:r>
          </w:p>
        </w:tc>
        <w:tc>
          <w:tcPr>
            <w:tcW w:w="1413" w:type="pct"/>
            <w:gridSpan w:val="3"/>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 xml:space="preserve">Totale Vecchiaia, di cui </w:t>
            </w:r>
          </w:p>
        </w:tc>
        <w:tc>
          <w:tcPr>
            <w:tcW w:w="1412" w:type="pct"/>
            <w:gridSpan w:val="3"/>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Anzianità</w:t>
            </w:r>
          </w:p>
        </w:tc>
        <w:tc>
          <w:tcPr>
            <w:tcW w:w="1410" w:type="pct"/>
            <w:gridSpan w:val="3"/>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Vecchiaia</w:t>
            </w:r>
          </w:p>
        </w:tc>
      </w:tr>
      <w:tr w:rsidR="00D77B0E" w:rsidRPr="0079485F" w:rsidTr="00D73F13">
        <w:trPr>
          <w:trHeight w:val="240"/>
        </w:trPr>
        <w:tc>
          <w:tcPr>
            <w:tcW w:w="764" w:type="pct"/>
            <w:vMerge/>
            <w:tcBorders>
              <w:top w:val="single" w:sz="4" w:space="0" w:color="auto"/>
              <w:left w:val="nil"/>
              <w:bottom w:val="single" w:sz="4" w:space="0" w:color="000000"/>
              <w:right w:val="nil"/>
            </w:tcBorders>
            <w:vAlign w:val="center"/>
            <w:hideMark/>
          </w:tcPr>
          <w:p w:rsidR="00D77B0E" w:rsidRPr="0079485F" w:rsidRDefault="00D77B0E" w:rsidP="00D73F13">
            <w:pPr>
              <w:rPr>
                <w:rFonts w:ascii="Garamond" w:hAnsi="Garamond" w:cs="Calibri"/>
                <w:color w:val="000000"/>
                <w:sz w:val="18"/>
                <w:szCs w:val="18"/>
              </w:rPr>
            </w:pPr>
          </w:p>
        </w:tc>
        <w:tc>
          <w:tcPr>
            <w:tcW w:w="574"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femmine</w:t>
            </w:r>
          </w:p>
        </w:tc>
        <w:tc>
          <w:tcPr>
            <w:tcW w:w="470"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Maschi</w:t>
            </w:r>
          </w:p>
        </w:tc>
        <w:tc>
          <w:tcPr>
            <w:tcW w:w="369"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totale</w:t>
            </w:r>
          </w:p>
        </w:tc>
        <w:tc>
          <w:tcPr>
            <w:tcW w:w="579"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Femmine</w:t>
            </w:r>
          </w:p>
        </w:tc>
        <w:tc>
          <w:tcPr>
            <w:tcW w:w="460"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maschi</w:t>
            </w:r>
          </w:p>
        </w:tc>
        <w:tc>
          <w:tcPr>
            <w:tcW w:w="373"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Totale</w:t>
            </w:r>
          </w:p>
        </w:tc>
        <w:tc>
          <w:tcPr>
            <w:tcW w:w="579"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femmine</w:t>
            </w:r>
          </w:p>
        </w:tc>
        <w:tc>
          <w:tcPr>
            <w:tcW w:w="460"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maschi</w:t>
            </w:r>
          </w:p>
        </w:tc>
        <w:tc>
          <w:tcPr>
            <w:tcW w:w="371"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totale</w:t>
            </w:r>
          </w:p>
        </w:tc>
      </w:tr>
      <w:tr w:rsidR="00D77B0E" w:rsidRPr="0079485F" w:rsidTr="00D73F13">
        <w:trPr>
          <w:trHeight w:val="240"/>
        </w:trPr>
        <w:tc>
          <w:tcPr>
            <w:tcW w:w="764" w:type="pct"/>
            <w:tcBorders>
              <w:top w:val="nil"/>
              <w:left w:val="nil"/>
              <w:bottom w:val="nil"/>
              <w:right w:val="nil"/>
            </w:tcBorders>
            <w:shd w:val="clear" w:color="auto" w:fill="auto"/>
            <w:noWrap/>
            <w:vAlign w:val="bottom"/>
            <w:hideMark/>
          </w:tcPr>
          <w:p w:rsidR="00D77B0E" w:rsidRPr="0079485F" w:rsidRDefault="00D77B0E" w:rsidP="00D73F13">
            <w:pPr>
              <w:rPr>
                <w:rFonts w:ascii="Garamond" w:hAnsi="Garamond" w:cs="Calibri"/>
                <w:color w:val="000000"/>
                <w:sz w:val="18"/>
                <w:szCs w:val="18"/>
              </w:rPr>
            </w:pPr>
            <w:r w:rsidRPr="0079485F">
              <w:rPr>
                <w:rFonts w:ascii="Garamond" w:hAnsi="Garamond" w:cs="Calibri"/>
                <w:color w:val="000000"/>
                <w:sz w:val="18"/>
                <w:szCs w:val="18"/>
              </w:rPr>
              <w:t>Varese</w:t>
            </w:r>
          </w:p>
        </w:tc>
        <w:tc>
          <w:tcPr>
            <w:tcW w:w="574"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707,6</w:t>
            </w:r>
          </w:p>
        </w:tc>
        <w:tc>
          <w:tcPr>
            <w:tcW w:w="47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934,9</w:t>
            </w:r>
          </w:p>
        </w:tc>
        <w:tc>
          <w:tcPr>
            <w:tcW w:w="36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803,0</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112,8</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629,3</w:t>
            </w:r>
          </w:p>
        </w:tc>
        <w:tc>
          <w:tcPr>
            <w:tcW w:w="373"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329,6</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569,6</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264,7</w:t>
            </w:r>
          </w:p>
        </w:tc>
        <w:tc>
          <w:tcPr>
            <w:tcW w:w="371"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441,6</w:t>
            </w:r>
          </w:p>
        </w:tc>
      </w:tr>
      <w:tr w:rsidR="00D77B0E" w:rsidRPr="0079485F" w:rsidTr="00D73F13">
        <w:trPr>
          <w:trHeight w:val="240"/>
        </w:trPr>
        <w:tc>
          <w:tcPr>
            <w:tcW w:w="764" w:type="pct"/>
            <w:tcBorders>
              <w:top w:val="nil"/>
              <w:left w:val="nil"/>
              <w:bottom w:val="nil"/>
              <w:right w:val="nil"/>
            </w:tcBorders>
            <w:shd w:val="clear" w:color="auto" w:fill="auto"/>
            <w:noWrap/>
            <w:vAlign w:val="bottom"/>
            <w:hideMark/>
          </w:tcPr>
          <w:p w:rsidR="00D77B0E" w:rsidRPr="0079485F" w:rsidRDefault="00D77B0E" w:rsidP="00D73F13">
            <w:pPr>
              <w:rPr>
                <w:rFonts w:ascii="Garamond" w:hAnsi="Garamond" w:cs="Calibri"/>
                <w:color w:val="000000"/>
                <w:sz w:val="18"/>
                <w:szCs w:val="18"/>
              </w:rPr>
            </w:pPr>
            <w:r w:rsidRPr="0079485F">
              <w:rPr>
                <w:rFonts w:ascii="Garamond" w:hAnsi="Garamond" w:cs="Calibri"/>
                <w:color w:val="000000"/>
                <w:sz w:val="18"/>
                <w:szCs w:val="18"/>
              </w:rPr>
              <w:t>Como</w:t>
            </w:r>
          </w:p>
        </w:tc>
        <w:tc>
          <w:tcPr>
            <w:tcW w:w="574"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692,9</w:t>
            </w:r>
          </w:p>
        </w:tc>
        <w:tc>
          <w:tcPr>
            <w:tcW w:w="47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906,7</w:t>
            </w:r>
          </w:p>
        </w:tc>
        <w:tc>
          <w:tcPr>
            <w:tcW w:w="36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782,9</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102,0</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594,9</w:t>
            </w:r>
          </w:p>
        </w:tc>
        <w:tc>
          <w:tcPr>
            <w:tcW w:w="373"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309,5</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578,6</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289,8</w:t>
            </w:r>
          </w:p>
        </w:tc>
        <w:tc>
          <w:tcPr>
            <w:tcW w:w="371"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457,0</w:t>
            </w:r>
          </w:p>
        </w:tc>
      </w:tr>
      <w:tr w:rsidR="00D77B0E" w:rsidRPr="0079485F" w:rsidTr="00D73F13">
        <w:trPr>
          <w:trHeight w:val="240"/>
        </w:trPr>
        <w:tc>
          <w:tcPr>
            <w:tcW w:w="764" w:type="pct"/>
            <w:tcBorders>
              <w:top w:val="nil"/>
              <w:left w:val="nil"/>
              <w:bottom w:val="nil"/>
              <w:right w:val="nil"/>
            </w:tcBorders>
            <w:shd w:val="clear" w:color="auto" w:fill="auto"/>
            <w:noWrap/>
            <w:vAlign w:val="bottom"/>
            <w:hideMark/>
          </w:tcPr>
          <w:p w:rsidR="00D77B0E" w:rsidRPr="0079485F" w:rsidRDefault="00D77B0E" w:rsidP="00D73F13">
            <w:pPr>
              <w:rPr>
                <w:rFonts w:ascii="Garamond" w:hAnsi="Garamond" w:cs="Calibri"/>
                <w:color w:val="000000"/>
                <w:sz w:val="18"/>
                <w:szCs w:val="18"/>
              </w:rPr>
            </w:pPr>
            <w:r w:rsidRPr="0079485F">
              <w:rPr>
                <w:rFonts w:ascii="Garamond" w:hAnsi="Garamond" w:cs="Calibri"/>
                <w:color w:val="000000"/>
                <w:sz w:val="18"/>
                <w:szCs w:val="18"/>
              </w:rPr>
              <w:t>Sondrio</w:t>
            </w:r>
          </w:p>
        </w:tc>
        <w:tc>
          <w:tcPr>
            <w:tcW w:w="574"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615,3</w:t>
            </w:r>
          </w:p>
        </w:tc>
        <w:tc>
          <w:tcPr>
            <w:tcW w:w="47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837,0</w:t>
            </w:r>
          </w:p>
        </w:tc>
        <w:tc>
          <w:tcPr>
            <w:tcW w:w="36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708,1</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82,9</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524,2</w:t>
            </w:r>
          </w:p>
        </w:tc>
        <w:tc>
          <w:tcPr>
            <w:tcW w:w="373"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267,7</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522,4</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290,3</w:t>
            </w:r>
          </w:p>
        </w:tc>
        <w:tc>
          <w:tcPr>
            <w:tcW w:w="371"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425,2</w:t>
            </w:r>
          </w:p>
        </w:tc>
      </w:tr>
      <w:tr w:rsidR="00D77B0E" w:rsidRPr="0079485F" w:rsidTr="00D73F13">
        <w:trPr>
          <w:trHeight w:val="240"/>
        </w:trPr>
        <w:tc>
          <w:tcPr>
            <w:tcW w:w="764" w:type="pct"/>
            <w:tcBorders>
              <w:top w:val="nil"/>
              <w:left w:val="nil"/>
              <w:bottom w:val="nil"/>
              <w:right w:val="nil"/>
            </w:tcBorders>
            <w:shd w:val="clear" w:color="auto" w:fill="auto"/>
            <w:noWrap/>
            <w:vAlign w:val="bottom"/>
            <w:hideMark/>
          </w:tcPr>
          <w:p w:rsidR="00D77B0E" w:rsidRPr="0079485F" w:rsidRDefault="00D77B0E" w:rsidP="00D73F13">
            <w:pPr>
              <w:rPr>
                <w:rFonts w:ascii="Garamond" w:hAnsi="Garamond" w:cs="Calibri"/>
                <w:color w:val="000000"/>
                <w:sz w:val="18"/>
                <w:szCs w:val="18"/>
              </w:rPr>
            </w:pPr>
            <w:r w:rsidRPr="0079485F">
              <w:rPr>
                <w:rFonts w:ascii="Garamond" w:hAnsi="Garamond" w:cs="Calibri"/>
                <w:color w:val="000000"/>
                <w:sz w:val="18"/>
                <w:szCs w:val="18"/>
              </w:rPr>
              <w:t>Milano</w:t>
            </w:r>
          </w:p>
        </w:tc>
        <w:tc>
          <w:tcPr>
            <w:tcW w:w="574"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639,4</w:t>
            </w:r>
          </w:p>
        </w:tc>
        <w:tc>
          <w:tcPr>
            <w:tcW w:w="47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951,5</w:t>
            </w:r>
          </w:p>
        </w:tc>
        <w:tc>
          <w:tcPr>
            <w:tcW w:w="36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768,7</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96,0</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574,2</w:t>
            </w:r>
          </w:p>
        </w:tc>
        <w:tc>
          <w:tcPr>
            <w:tcW w:w="373"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294,0</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518,0</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319,0</w:t>
            </w:r>
          </w:p>
        </w:tc>
        <w:tc>
          <w:tcPr>
            <w:tcW w:w="371"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435,6</w:t>
            </w:r>
          </w:p>
        </w:tc>
      </w:tr>
      <w:tr w:rsidR="00D77B0E" w:rsidRPr="002F4583" w:rsidTr="00D73F13">
        <w:trPr>
          <w:trHeight w:val="240"/>
        </w:trPr>
        <w:tc>
          <w:tcPr>
            <w:tcW w:w="764" w:type="pct"/>
            <w:tcBorders>
              <w:top w:val="nil"/>
              <w:left w:val="nil"/>
              <w:bottom w:val="nil"/>
              <w:right w:val="nil"/>
            </w:tcBorders>
            <w:shd w:val="clear" w:color="auto" w:fill="auto"/>
            <w:noWrap/>
            <w:vAlign w:val="bottom"/>
            <w:hideMark/>
          </w:tcPr>
          <w:p w:rsidR="00D77B0E" w:rsidRPr="002F4583" w:rsidRDefault="00D77B0E" w:rsidP="00D73F13">
            <w:pPr>
              <w:rPr>
                <w:rFonts w:ascii="Garamond" w:hAnsi="Garamond" w:cs="Calibri"/>
                <w:b/>
                <w:color w:val="000000"/>
                <w:sz w:val="18"/>
                <w:szCs w:val="18"/>
              </w:rPr>
            </w:pPr>
            <w:r w:rsidRPr="002F4583">
              <w:rPr>
                <w:rFonts w:ascii="Garamond" w:hAnsi="Garamond" w:cs="Calibri"/>
                <w:b/>
                <w:color w:val="000000"/>
                <w:sz w:val="18"/>
                <w:szCs w:val="18"/>
              </w:rPr>
              <w:t>Bergamo</w:t>
            </w:r>
          </w:p>
        </w:tc>
        <w:tc>
          <w:tcPr>
            <w:tcW w:w="574" w:type="pct"/>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669,4</w:t>
            </w:r>
          </w:p>
        </w:tc>
        <w:tc>
          <w:tcPr>
            <w:tcW w:w="470" w:type="pct"/>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1.056,7</w:t>
            </w:r>
          </w:p>
        </w:tc>
        <w:tc>
          <w:tcPr>
            <w:tcW w:w="369" w:type="pct"/>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833,4</w:t>
            </w:r>
          </w:p>
        </w:tc>
        <w:tc>
          <w:tcPr>
            <w:tcW w:w="579" w:type="pct"/>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71,4</w:t>
            </w:r>
          </w:p>
        </w:tc>
        <w:tc>
          <w:tcPr>
            <w:tcW w:w="460" w:type="pct"/>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661,7</w:t>
            </w:r>
          </w:p>
        </w:tc>
        <w:tc>
          <w:tcPr>
            <w:tcW w:w="373" w:type="pct"/>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321,3</w:t>
            </w:r>
          </w:p>
        </w:tc>
        <w:tc>
          <w:tcPr>
            <w:tcW w:w="579" w:type="pct"/>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585,9</w:t>
            </w:r>
          </w:p>
        </w:tc>
        <w:tc>
          <w:tcPr>
            <w:tcW w:w="460" w:type="pct"/>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313,2</w:t>
            </w:r>
          </w:p>
        </w:tc>
        <w:tc>
          <w:tcPr>
            <w:tcW w:w="371" w:type="pct"/>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470,5</w:t>
            </w:r>
          </w:p>
        </w:tc>
      </w:tr>
      <w:tr w:rsidR="00D77B0E" w:rsidRPr="0079485F" w:rsidTr="00D73F13">
        <w:trPr>
          <w:trHeight w:val="240"/>
        </w:trPr>
        <w:tc>
          <w:tcPr>
            <w:tcW w:w="764" w:type="pct"/>
            <w:tcBorders>
              <w:top w:val="nil"/>
              <w:left w:val="nil"/>
              <w:bottom w:val="nil"/>
              <w:right w:val="nil"/>
            </w:tcBorders>
            <w:shd w:val="clear" w:color="auto" w:fill="auto"/>
            <w:noWrap/>
            <w:vAlign w:val="bottom"/>
            <w:hideMark/>
          </w:tcPr>
          <w:p w:rsidR="00D77B0E" w:rsidRPr="0079485F" w:rsidRDefault="00D77B0E" w:rsidP="00D73F13">
            <w:pPr>
              <w:rPr>
                <w:rFonts w:ascii="Garamond" w:hAnsi="Garamond" w:cs="Calibri"/>
                <w:color w:val="000000"/>
                <w:sz w:val="18"/>
                <w:szCs w:val="18"/>
              </w:rPr>
            </w:pPr>
            <w:r w:rsidRPr="0079485F">
              <w:rPr>
                <w:rFonts w:ascii="Garamond" w:hAnsi="Garamond" w:cs="Calibri"/>
                <w:color w:val="000000"/>
                <w:sz w:val="18"/>
                <w:szCs w:val="18"/>
              </w:rPr>
              <w:t>Brescia</w:t>
            </w:r>
          </w:p>
        </w:tc>
        <w:tc>
          <w:tcPr>
            <w:tcW w:w="574"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523,9</w:t>
            </w:r>
          </w:p>
        </w:tc>
        <w:tc>
          <w:tcPr>
            <w:tcW w:w="47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897,4</w:t>
            </w:r>
          </w:p>
        </w:tc>
        <w:tc>
          <w:tcPr>
            <w:tcW w:w="36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679,6</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59,7</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573,9</w:t>
            </w:r>
          </w:p>
        </w:tc>
        <w:tc>
          <w:tcPr>
            <w:tcW w:w="373"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274,1</w:t>
            </w: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457,4</w:t>
            </w: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261,2</w:t>
            </w:r>
          </w:p>
        </w:tc>
        <w:tc>
          <w:tcPr>
            <w:tcW w:w="371"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375,5</w:t>
            </w:r>
          </w:p>
        </w:tc>
      </w:tr>
      <w:tr w:rsidR="00D77B0E" w:rsidRPr="00500EC5" w:rsidTr="00D73F13">
        <w:trPr>
          <w:trHeight w:val="240"/>
        </w:trPr>
        <w:tc>
          <w:tcPr>
            <w:tcW w:w="764" w:type="pct"/>
            <w:tcBorders>
              <w:top w:val="nil"/>
              <w:left w:val="nil"/>
              <w:right w:val="nil"/>
            </w:tcBorders>
            <w:shd w:val="clear" w:color="auto" w:fill="auto"/>
            <w:noWrap/>
            <w:vAlign w:val="bottom"/>
            <w:hideMark/>
          </w:tcPr>
          <w:p w:rsidR="00D77B0E" w:rsidRPr="00500EC5" w:rsidRDefault="00D77B0E" w:rsidP="00D73F13">
            <w:pPr>
              <w:rPr>
                <w:rFonts w:ascii="Garamond" w:hAnsi="Garamond" w:cs="Calibri"/>
                <w:color w:val="000000"/>
                <w:sz w:val="18"/>
                <w:szCs w:val="18"/>
              </w:rPr>
            </w:pPr>
            <w:r w:rsidRPr="00500EC5">
              <w:rPr>
                <w:rFonts w:ascii="Garamond" w:hAnsi="Garamond" w:cs="Calibri"/>
                <w:color w:val="000000"/>
                <w:sz w:val="18"/>
                <w:szCs w:val="18"/>
              </w:rPr>
              <w:t>Pavia</w:t>
            </w:r>
          </w:p>
        </w:tc>
        <w:tc>
          <w:tcPr>
            <w:tcW w:w="574" w:type="pct"/>
            <w:tcBorders>
              <w:top w:val="nil"/>
              <w:left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633,9</w:t>
            </w:r>
          </w:p>
        </w:tc>
        <w:tc>
          <w:tcPr>
            <w:tcW w:w="470" w:type="pct"/>
            <w:tcBorders>
              <w:top w:val="nil"/>
              <w:left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844,8</w:t>
            </w:r>
          </w:p>
        </w:tc>
        <w:tc>
          <w:tcPr>
            <w:tcW w:w="369" w:type="pct"/>
            <w:tcBorders>
              <w:top w:val="nil"/>
              <w:left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720,2</w:t>
            </w:r>
          </w:p>
        </w:tc>
        <w:tc>
          <w:tcPr>
            <w:tcW w:w="579" w:type="pct"/>
            <w:tcBorders>
              <w:top w:val="nil"/>
              <w:left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92,1</w:t>
            </w:r>
          </w:p>
        </w:tc>
        <w:tc>
          <w:tcPr>
            <w:tcW w:w="460" w:type="pct"/>
            <w:tcBorders>
              <w:top w:val="nil"/>
              <w:left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550,7</w:t>
            </w:r>
          </w:p>
        </w:tc>
        <w:tc>
          <w:tcPr>
            <w:tcW w:w="373" w:type="pct"/>
            <w:tcBorders>
              <w:top w:val="nil"/>
              <w:left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279,8</w:t>
            </w:r>
          </w:p>
        </w:tc>
        <w:tc>
          <w:tcPr>
            <w:tcW w:w="579" w:type="pct"/>
            <w:tcBorders>
              <w:top w:val="nil"/>
              <w:left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523,8</w:t>
            </w:r>
          </w:p>
        </w:tc>
        <w:tc>
          <w:tcPr>
            <w:tcW w:w="460" w:type="pct"/>
            <w:tcBorders>
              <w:top w:val="nil"/>
              <w:left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268,7</w:t>
            </w:r>
          </w:p>
        </w:tc>
        <w:tc>
          <w:tcPr>
            <w:tcW w:w="371" w:type="pct"/>
            <w:tcBorders>
              <w:top w:val="nil"/>
              <w:left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419,4</w:t>
            </w:r>
          </w:p>
        </w:tc>
      </w:tr>
      <w:tr w:rsidR="00D77B0E" w:rsidRPr="00500EC5" w:rsidTr="00D73F13">
        <w:trPr>
          <w:trHeight w:val="240"/>
        </w:trPr>
        <w:tc>
          <w:tcPr>
            <w:tcW w:w="764" w:type="pct"/>
            <w:tcBorders>
              <w:top w:val="nil"/>
              <w:left w:val="nil"/>
              <w:bottom w:val="nil"/>
              <w:right w:val="nil"/>
            </w:tcBorders>
            <w:shd w:val="clear" w:color="auto" w:fill="auto"/>
            <w:noWrap/>
            <w:vAlign w:val="bottom"/>
            <w:hideMark/>
          </w:tcPr>
          <w:p w:rsidR="00D77B0E" w:rsidRPr="00500EC5" w:rsidRDefault="00D77B0E" w:rsidP="00D73F13">
            <w:pPr>
              <w:rPr>
                <w:rFonts w:ascii="Garamond" w:hAnsi="Garamond" w:cs="Calibri"/>
                <w:color w:val="000000"/>
                <w:sz w:val="18"/>
                <w:szCs w:val="18"/>
              </w:rPr>
            </w:pPr>
            <w:r w:rsidRPr="00500EC5">
              <w:rPr>
                <w:rFonts w:ascii="Garamond" w:hAnsi="Garamond" w:cs="Calibri"/>
                <w:color w:val="000000"/>
                <w:sz w:val="18"/>
                <w:szCs w:val="18"/>
              </w:rPr>
              <w:t>Cremona</w:t>
            </w:r>
          </w:p>
        </w:tc>
        <w:tc>
          <w:tcPr>
            <w:tcW w:w="574" w:type="pct"/>
            <w:tcBorders>
              <w:top w:val="nil"/>
              <w:left w:val="nil"/>
              <w:bottom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600,2</w:t>
            </w:r>
          </w:p>
        </w:tc>
        <w:tc>
          <w:tcPr>
            <w:tcW w:w="470" w:type="pct"/>
            <w:tcBorders>
              <w:top w:val="nil"/>
              <w:left w:val="nil"/>
              <w:bottom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903,9</w:t>
            </w:r>
          </w:p>
        </w:tc>
        <w:tc>
          <w:tcPr>
            <w:tcW w:w="369" w:type="pct"/>
            <w:tcBorders>
              <w:top w:val="nil"/>
              <w:left w:val="nil"/>
              <w:bottom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725,0</w:t>
            </w:r>
          </w:p>
        </w:tc>
        <w:tc>
          <w:tcPr>
            <w:tcW w:w="579" w:type="pct"/>
            <w:tcBorders>
              <w:top w:val="nil"/>
              <w:left w:val="nil"/>
              <w:bottom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81,9</w:t>
            </w:r>
          </w:p>
        </w:tc>
        <w:tc>
          <w:tcPr>
            <w:tcW w:w="460" w:type="pct"/>
            <w:tcBorders>
              <w:top w:val="nil"/>
              <w:left w:val="nil"/>
              <w:bottom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637,2</w:t>
            </w:r>
          </w:p>
        </w:tc>
        <w:tc>
          <w:tcPr>
            <w:tcW w:w="373" w:type="pct"/>
            <w:tcBorders>
              <w:top w:val="nil"/>
              <w:left w:val="nil"/>
              <w:bottom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310,2</w:t>
            </w:r>
          </w:p>
        </w:tc>
        <w:tc>
          <w:tcPr>
            <w:tcW w:w="579" w:type="pct"/>
            <w:tcBorders>
              <w:top w:val="nil"/>
              <w:left w:val="nil"/>
              <w:bottom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509,0</w:t>
            </w:r>
          </w:p>
        </w:tc>
        <w:tc>
          <w:tcPr>
            <w:tcW w:w="460" w:type="pct"/>
            <w:tcBorders>
              <w:top w:val="nil"/>
              <w:left w:val="nil"/>
              <w:bottom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239,4</w:t>
            </w:r>
          </w:p>
        </w:tc>
        <w:tc>
          <w:tcPr>
            <w:tcW w:w="371" w:type="pct"/>
            <w:tcBorders>
              <w:top w:val="nil"/>
              <w:left w:val="nil"/>
              <w:bottom w:val="nil"/>
              <w:right w:val="nil"/>
            </w:tcBorders>
            <w:shd w:val="clear" w:color="auto" w:fill="auto"/>
            <w:noWrap/>
            <w:vAlign w:val="bottom"/>
            <w:hideMark/>
          </w:tcPr>
          <w:p w:rsidR="00D77B0E" w:rsidRPr="00500EC5" w:rsidRDefault="00D77B0E" w:rsidP="00D73F13">
            <w:pPr>
              <w:jc w:val="center"/>
              <w:rPr>
                <w:rFonts w:ascii="Garamond" w:hAnsi="Garamond" w:cs="Calibri"/>
                <w:color w:val="000000"/>
                <w:sz w:val="18"/>
                <w:szCs w:val="18"/>
              </w:rPr>
            </w:pPr>
            <w:r w:rsidRPr="00500EC5">
              <w:rPr>
                <w:rFonts w:ascii="Garamond" w:hAnsi="Garamond" w:cs="Calibri"/>
                <w:color w:val="000000"/>
                <w:sz w:val="18"/>
                <w:szCs w:val="18"/>
              </w:rPr>
              <w:t>398,2</w:t>
            </w:r>
          </w:p>
        </w:tc>
      </w:tr>
      <w:tr w:rsidR="00D77B0E" w:rsidRPr="00500EC5" w:rsidTr="00D73F13">
        <w:trPr>
          <w:trHeight w:val="240"/>
        </w:trPr>
        <w:tc>
          <w:tcPr>
            <w:tcW w:w="764" w:type="pct"/>
            <w:tcBorders>
              <w:left w:val="nil"/>
              <w:right w:val="nil"/>
            </w:tcBorders>
            <w:shd w:val="clear" w:color="auto" w:fill="auto"/>
            <w:noWrap/>
            <w:vAlign w:val="bottom"/>
            <w:hideMark/>
          </w:tcPr>
          <w:p w:rsidR="00D77B0E" w:rsidRPr="00500EC5" w:rsidRDefault="00D77B0E" w:rsidP="00D73F13">
            <w:pPr>
              <w:rPr>
                <w:rFonts w:ascii="Garamond" w:hAnsi="Garamond" w:cs="Calibri"/>
                <w:bCs/>
                <w:color w:val="000000"/>
                <w:sz w:val="18"/>
                <w:szCs w:val="18"/>
              </w:rPr>
            </w:pPr>
            <w:r w:rsidRPr="00500EC5">
              <w:rPr>
                <w:rFonts w:ascii="Garamond" w:hAnsi="Garamond" w:cs="Calibri"/>
                <w:bCs/>
                <w:color w:val="000000"/>
                <w:sz w:val="18"/>
                <w:szCs w:val="18"/>
              </w:rPr>
              <w:t>Mantova</w:t>
            </w:r>
          </w:p>
        </w:tc>
        <w:tc>
          <w:tcPr>
            <w:tcW w:w="574" w:type="pct"/>
            <w:tcBorders>
              <w:left w:val="nil"/>
              <w:right w:val="nil"/>
            </w:tcBorders>
            <w:shd w:val="clear" w:color="auto" w:fill="auto"/>
            <w:noWrap/>
            <w:vAlign w:val="bottom"/>
            <w:hideMark/>
          </w:tcPr>
          <w:p w:rsidR="00D77B0E" w:rsidRPr="00500EC5" w:rsidRDefault="00D77B0E" w:rsidP="00D73F13">
            <w:pPr>
              <w:jc w:val="center"/>
              <w:rPr>
                <w:rFonts w:ascii="Garamond" w:hAnsi="Garamond" w:cs="Calibri"/>
                <w:bCs/>
                <w:color w:val="000000"/>
                <w:sz w:val="18"/>
                <w:szCs w:val="18"/>
              </w:rPr>
            </w:pPr>
            <w:r w:rsidRPr="00500EC5">
              <w:rPr>
                <w:rFonts w:ascii="Garamond" w:hAnsi="Garamond" w:cs="Calibri"/>
                <w:bCs/>
                <w:color w:val="000000"/>
                <w:sz w:val="18"/>
                <w:szCs w:val="18"/>
              </w:rPr>
              <w:t>651,9</w:t>
            </w:r>
          </w:p>
        </w:tc>
        <w:tc>
          <w:tcPr>
            <w:tcW w:w="470" w:type="pct"/>
            <w:tcBorders>
              <w:left w:val="nil"/>
              <w:right w:val="nil"/>
            </w:tcBorders>
            <w:shd w:val="clear" w:color="auto" w:fill="auto"/>
            <w:noWrap/>
            <w:vAlign w:val="bottom"/>
            <w:hideMark/>
          </w:tcPr>
          <w:p w:rsidR="00D77B0E" w:rsidRPr="00500EC5" w:rsidRDefault="00D77B0E" w:rsidP="00D73F13">
            <w:pPr>
              <w:jc w:val="center"/>
              <w:rPr>
                <w:rFonts w:ascii="Garamond" w:hAnsi="Garamond" w:cs="Calibri"/>
                <w:bCs/>
                <w:color w:val="000000"/>
                <w:sz w:val="18"/>
                <w:szCs w:val="18"/>
              </w:rPr>
            </w:pPr>
            <w:r w:rsidRPr="00500EC5">
              <w:rPr>
                <w:rFonts w:ascii="Garamond" w:hAnsi="Garamond" w:cs="Calibri"/>
                <w:bCs/>
                <w:color w:val="000000"/>
                <w:sz w:val="18"/>
                <w:szCs w:val="18"/>
              </w:rPr>
              <w:t>915,1</w:t>
            </w:r>
          </w:p>
        </w:tc>
        <w:tc>
          <w:tcPr>
            <w:tcW w:w="369" w:type="pct"/>
            <w:tcBorders>
              <w:left w:val="nil"/>
              <w:right w:val="nil"/>
            </w:tcBorders>
            <w:shd w:val="clear" w:color="auto" w:fill="auto"/>
            <w:noWrap/>
            <w:vAlign w:val="bottom"/>
            <w:hideMark/>
          </w:tcPr>
          <w:p w:rsidR="00D77B0E" w:rsidRPr="00500EC5" w:rsidRDefault="00D77B0E" w:rsidP="00D73F13">
            <w:pPr>
              <w:jc w:val="center"/>
              <w:rPr>
                <w:rFonts w:ascii="Garamond" w:hAnsi="Garamond" w:cs="Calibri"/>
                <w:bCs/>
                <w:color w:val="000000"/>
                <w:sz w:val="18"/>
                <w:szCs w:val="18"/>
              </w:rPr>
            </w:pPr>
            <w:r w:rsidRPr="00500EC5">
              <w:rPr>
                <w:rFonts w:ascii="Garamond" w:hAnsi="Garamond" w:cs="Calibri"/>
                <w:bCs/>
                <w:color w:val="000000"/>
                <w:sz w:val="18"/>
                <w:szCs w:val="18"/>
              </w:rPr>
              <w:t>760,4</w:t>
            </w:r>
          </w:p>
        </w:tc>
        <w:tc>
          <w:tcPr>
            <w:tcW w:w="579" w:type="pct"/>
            <w:tcBorders>
              <w:left w:val="nil"/>
              <w:right w:val="nil"/>
            </w:tcBorders>
            <w:shd w:val="clear" w:color="auto" w:fill="auto"/>
            <w:noWrap/>
            <w:vAlign w:val="bottom"/>
            <w:hideMark/>
          </w:tcPr>
          <w:p w:rsidR="00D77B0E" w:rsidRPr="00500EC5" w:rsidRDefault="00D77B0E" w:rsidP="00D73F13">
            <w:pPr>
              <w:jc w:val="center"/>
              <w:rPr>
                <w:rFonts w:ascii="Garamond" w:hAnsi="Garamond" w:cs="Calibri"/>
                <w:bCs/>
                <w:color w:val="000000"/>
                <w:sz w:val="18"/>
                <w:szCs w:val="18"/>
              </w:rPr>
            </w:pPr>
            <w:r w:rsidRPr="00500EC5">
              <w:rPr>
                <w:rFonts w:ascii="Garamond" w:hAnsi="Garamond" w:cs="Calibri"/>
                <w:bCs/>
                <w:color w:val="000000"/>
                <w:sz w:val="18"/>
                <w:szCs w:val="18"/>
              </w:rPr>
              <w:t>101,6</w:t>
            </w:r>
          </w:p>
        </w:tc>
        <w:tc>
          <w:tcPr>
            <w:tcW w:w="460" w:type="pct"/>
            <w:tcBorders>
              <w:left w:val="nil"/>
              <w:right w:val="nil"/>
            </w:tcBorders>
            <w:shd w:val="clear" w:color="auto" w:fill="auto"/>
            <w:noWrap/>
            <w:vAlign w:val="bottom"/>
            <w:hideMark/>
          </w:tcPr>
          <w:p w:rsidR="00D77B0E" w:rsidRPr="00500EC5" w:rsidRDefault="00D77B0E" w:rsidP="00D73F13">
            <w:pPr>
              <w:jc w:val="center"/>
              <w:rPr>
                <w:rFonts w:ascii="Garamond" w:hAnsi="Garamond" w:cs="Calibri"/>
                <w:bCs/>
                <w:color w:val="000000"/>
                <w:sz w:val="18"/>
                <w:szCs w:val="18"/>
              </w:rPr>
            </w:pPr>
            <w:r w:rsidRPr="00500EC5">
              <w:rPr>
                <w:rFonts w:ascii="Garamond" w:hAnsi="Garamond" w:cs="Calibri"/>
                <w:bCs/>
                <w:color w:val="000000"/>
                <w:sz w:val="18"/>
                <w:szCs w:val="18"/>
              </w:rPr>
              <w:t>621,5</w:t>
            </w:r>
          </w:p>
        </w:tc>
        <w:tc>
          <w:tcPr>
            <w:tcW w:w="373" w:type="pct"/>
            <w:tcBorders>
              <w:left w:val="nil"/>
              <w:right w:val="nil"/>
            </w:tcBorders>
            <w:shd w:val="clear" w:color="auto" w:fill="auto"/>
            <w:noWrap/>
            <w:vAlign w:val="bottom"/>
            <w:hideMark/>
          </w:tcPr>
          <w:p w:rsidR="00D77B0E" w:rsidRPr="00500EC5" w:rsidRDefault="00D77B0E" w:rsidP="00D73F13">
            <w:pPr>
              <w:jc w:val="center"/>
              <w:rPr>
                <w:rFonts w:ascii="Garamond" w:hAnsi="Garamond" w:cs="Calibri"/>
                <w:bCs/>
                <w:color w:val="000000"/>
                <w:sz w:val="18"/>
                <w:szCs w:val="18"/>
              </w:rPr>
            </w:pPr>
            <w:r w:rsidRPr="00500EC5">
              <w:rPr>
                <w:rFonts w:ascii="Garamond" w:hAnsi="Garamond" w:cs="Calibri"/>
                <w:bCs/>
                <w:color w:val="000000"/>
                <w:sz w:val="18"/>
                <w:szCs w:val="18"/>
              </w:rPr>
              <w:t>315,8</w:t>
            </w:r>
          </w:p>
        </w:tc>
        <w:tc>
          <w:tcPr>
            <w:tcW w:w="579" w:type="pct"/>
            <w:tcBorders>
              <w:left w:val="nil"/>
              <w:right w:val="nil"/>
            </w:tcBorders>
            <w:shd w:val="clear" w:color="auto" w:fill="auto"/>
            <w:noWrap/>
            <w:vAlign w:val="bottom"/>
            <w:hideMark/>
          </w:tcPr>
          <w:p w:rsidR="00D77B0E" w:rsidRPr="00500EC5" w:rsidRDefault="00D77B0E" w:rsidP="00D73F13">
            <w:pPr>
              <w:jc w:val="center"/>
              <w:rPr>
                <w:rFonts w:ascii="Garamond" w:hAnsi="Garamond" w:cs="Calibri"/>
                <w:bCs/>
                <w:color w:val="000000"/>
                <w:sz w:val="18"/>
                <w:szCs w:val="18"/>
              </w:rPr>
            </w:pPr>
            <w:r w:rsidRPr="00500EC5">
              <w:rPr>
                <w:rFonts w:ascii="Garamond" w:hAnsi="Garamond" w:cs="Calibri"/>
                <w:bCs/>
                <w:color w:val="000000"/>
                <w:sz w:val="18"/>
                <w:szCs w:val="18"/>
              </w:rPr>
              <w:t>547,7</w:t>
            </w:r>
          </w:p>
        </w:tc>
        <w:tc>
          <w:tcPr>
            <w:tcW w:w="460" w:type="pct"/>
            <w:tcBorders>
              <w:left w:val="nil"/>
              <w:right w:val="nil"/>
            </w:tcBorders>
            <w:shd w:val="clear" w:color="auto" w:fill="auto"/>
            <w:noWrap/>
            <w:vAlign w:val="bottom"/>
            <w:hideMark/>
          </w:tcPr>
          <w:p w:rsidR="00D77B0E" w:rsidRPr="00500EC5" w:rsidRDefault="00D77B0E" w:rsidP="00D73F13">
            <w:pPr>
              <w:jc w:val="center"/>
              <w:rPr>
                <w:rFonts w:ascii="Garamond" w:hAnsi="Garamond" w:cs="Calibri"/>
                <w:bCs/>
                <w:color w:val="000000"/>
                <w:sz w:val="18"/>
                <w:szCs w:val="18"/>
              </w:rPr>
            </w:pPr>
            <w:r w:rsidRPr="00500EC5">
              <w:rPr>
                <w:rFonts w:ascii="Garamond" w:hAnsi="Garamond" w:cs="Calibri"/>
                <w:bCs/>
                <w:color w:val="000000"/>
                <w:sz w:val="18"/>
                <w:szCs w:val="18"/>
              </w:rPr>
              <w:t>273,3</w:t>
            </w:r>
          </w:p>
        </w:tc>
        <w:tc>
          <w:tcPr>
            <w:tcW w:w="371" w:type="pct"/>
            <w:tcBorders>
              <w:left w:val="nil"/>
              <w:right w:val="nil"/>
            </w:tcBorders>
            <w:shd w:val="clear" w:color="auto" w:fill="auto"/>
            <w:noWrap/>
            <w:vAlign w:val="bottom"/>
            <w:hideMark/>
          </w:tcPr>
          <w:p w:rsidR="00D77B0E" w:rsidRPr="00500EC5" w:rsidRDefault="00D77B0E" w:rsidP="00D73F13">
            <w:pPr>
              <w:jc w:val="center"/>
              <w:rPr>
                <w:rFonts w:ascii="Garamond" w:hAnsi="Garamond" w:cs="Calibri"/>
                <w:bCs/>
                <w:color w:val="000000"/>
                <w:sz w:val="18"/>
                <w:szCs w:val="18"/>
              </w:rPr>
            </w:pPr>
            <w:r w:rsidRPr="00500EC5">
              <w:rPr>
                <w:rFonts w:ascii="Garamond" w:hAnsi="Garamond" w:cs="Calibri"/>
                <w:bCs/>
                <w:color w:val="000000"/>
                <w:sz w:val="18"/>
                <w:szCs w:val="18"/>
              </w:rPr>
              <w:t>434,6</w:t>
            </w:r>
          </w:p>
        </w:tc>
      </w:tr>
      <w:tr w:rsidR="00D77B0E" w:rsidRPr="002F4583" w:rsidTr="00D73F13">
        <w:trPr>
          <w:trHeight w:val="240"/>
        </w:trPr>
        <w:tc>
          <w:tcPr>
            <w:tcW w:w="764" w:type="pct"/>
            <w:tcBorders>
              <w:left w:val="nil"/>
              <w:right w:val="nil"/>
            </w:tcBorders>
            <w:shd w:val="clear" w:color="auto" w:fill="auto"/>
            <w:noWrap/>
            <w:vAlign w:val="bottom"/>
            <w:hideMark/>
          </w:tcPr>
          <w:p w:rsidR="00D77B0E" w:rsidRPr="002F4583" w:rsidRDefault="00D77B0E" w:rsidP="00D73F13">
            <w:pPr>
              <w:rPr>
                <w:rFonts w:ascii="Garamond" w:hAnsi="Garamond" w:cs="Calibri"/>
                <w:color w:val="000000"/>
                <w:sz w:val="18"/>
                <w:szCs w:val="18"/>
              </w:rPr>
            </w:pPr>
            <w:r w:rsidRPr="002F4583">
              <w:rPr>
                <w:rFonts w:ascii="Garamond" w:hAnsi="Garamond" w:cs="Calibri"/>
                <w:color w:val="000000"/>
                <w:sz w:val="18"/>
                <w:szCs w:val="18"/>
              </w:rPr>
              <w:t>Lecco</w:t>
            </w:r>
          </w:p>
        </w:tc>
        <w:tc>
          <w:tcPr>
            <w:tcW w:w="574" w:type="pct"/>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711,6</w:t>
            </w:r>
          </w:p>
        </w:tc>
        <w:tc>
          <w:tcPr>
            <w:tcW w:w="470" w:type="pct"/>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944,5</w:t>
            </w:r>
          </w:p>
        </w:tc>
        <w:tc>
          <w:tcPr>
            <w:tcW w:w="369" w:type="pct"/>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810,5</w:t>
            </w:r>
          </w:p>
        </w:tc>
        <w:tc>
          <w:tcPr>
            <w:tcW w:w="579" w:type="pct"/>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78,7</w:t>
            </w:r>
          </w:p>
        </w:tc>
        <w:tc>
          <w:tcPr>
            <w:tcW w:w="460" w:type="pct"/>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656,1</w:t>
            </w:r>
          </w:p>
        </w:tc>
        <w:tc>
          <w:tcPr>
            <w:tcW w:w="373" w:type="pct"/>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323,9</w:t>
            </w:r>
          </w:p>
        </w:tc>
        <w:tc>
          <w:tcPr>
            <w:tcW w:w="579" w:type="pct"/>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615,7</w:t>
            </w:r>
          </w:p>
        </w:tc>
        <w:tc>
          <w:tcPr>
            <w:tcW w:w="460" w:type="pct"/>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244,3</w:t>
            </w:r>
          </w:p>
        </w:tc>
        <w:tc>
          <w:tcPr>
            <w:tcW w:w="371" w:type="pct"/>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457,9</w:t>
            </w:r>
          </w:p>
        </w:tc>
      </w:tr>
      <w:tr w:rsidR="00D77B0E" w:rsidRPr="0079485F" w:rsidTr="00D73F13">
        <w:trPr>
          <w:trHeight w:val="240"/>
        </w:trPr>
        <w:tc>
          <w:tcPr>
            <w:tcW w:w="764" w:type="pct"/>
            <w:tcBorders>
              <w:left w:val="nil"/>
              <w:bottom w:val="nil"/>
              <w:right w:val="nil"/>
            </w:tcBorders>
            <w:shd w:val="clear" w:color="auto" w:fill="auto"/>
            <w:noWrap/>
            <w:vAlign w:val="bottom"/>
            <w:hideMark/>
          </w:tcPr>
          <w:p w:rsidR="00D77B0E" w:rsidRPr="0079485F" w:rsidRDefault="00D77B0E" w:rsidP="00D73F13">
            <w:pPr>
              <w:rPr>
                <w:rFonts w:ascii="Garamond" w:hAnsi="Garamond" w:cs="Calibri"/>
                <w:color w:val="000000"/>
                <w:sz w:val="18"/>
                <w:szCs w:val="18"/>
              </w:rPr>
            </w:pPr>
            <w:r w:rsidRPr="0079485F">
              <w:rPr>
                <w:rFonts w:ascii="Garamond" w:hAnsi="Garamond" w:cs="Calibri"/>
                <w:color w:val="000000"/>
                <w:sz w:val="18"/>
                <w:szCs w:val="18"/>
              </w:rPr>
              <w:t>Lodi</w:t>
            </w:r>
          </w:p>
        </w:tc>
        <w:tc>
          <w:tcPr>
            <w:tcW w:w="574" w:type="pct"/>
            <w:tcBorders>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571,9</w:t>
            </w:r>
          </w:p>
        </w:tc>
        <w:tc>
          <w:tcPr>
            <w:tcW w:w="470" w:type="pct"/>
            <w:tcBorders>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885,2</w:t>
            </w:r>
          </w:p>
        </w:tc>
        <w:tc>
          <w:tcPr>
            <w:tcW w:w="369" w:type="pct"/>
            <w:tcBorders>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702,8</w:t>
            </w:r>
          </w:p>
        </w:tc>
        <w:tc>
          <w:tcPr>
            <w:tcW w:w="579" w:type="pct"/>
            <w:tcBorders>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67,6</w:t>
            </w:r>
          </w:p>
        </w:tc>
        <w:tc>
          <w:tcPr>
            <w:tcW w:w="460" w:type="pct"/>
            <w:tcBorders>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638,6</w:t>
            </w:r>
          </w:p>
        </w:tc>
        <w:tc>
          <w:tcPr>
            <w:tcW w:w="373" w:type="pct"/>
            <w:tcBorders>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306,0</w:t>
            </w:r>
          </w:p>
        </w:tc>
        <w:tc>
          <w:tcPr>
            <w:tcW w:w="579" w:type="pct"/>
            <w:tcBorders>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491,5</w:t>
            </w:r>
          </w:p>
        </w:tc>
        <w:tc>
          <w:tcPr>
            <w:tcW w:w="460" w:type="pct"/>
            <w:tcBorders>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216,2</w:t>
            </w:r>
          </w:p>
        </w:tc>
        <w:tc>
          <w:tcPr>
            <w:tcW w:w="371" w:type="pct"/>
            <w:tcBorders>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376,5</w:t>
            </w:r>
          </w:p>
        </w:tc>
      </w:tr>
      <w:tr w:rsidR="00D77B0E" w:rsidRPr="0079485F" w:rsidTr="00D73F13">
        <w:trPr>
          <w:trHeight w:val="240"/>
        </w:trPr>
        <w:tc>
          <w:tcPr>
            <w:tcW w:w="764" w:type="pct"/>
            <w:tcBorders>
              <w:top w:val="nil"/>
              <w:left w:val="nil"/>
              <w:bottom w:val="single" w:sz="4" w:space="0" w:color="auto"/>
              <w:right w:val="nil"/>
            </w:tcBorders>
            <w:shd w:val="clear" w:color="auto" w:fill="auto"/>
            <w:noWrap/>
            <w:vAlign w:val="bottom"/>
            <w:hideMark/>
          </w:tcPr>
          <w:p w:rsidR="00D77B0E" w:rsidRPr="0079485F" w:rsidRDefault="00D77B0E" w:rsidP="00D73F13">
            <w:pPr>
              <w:rPr>
                <w:rFonts w:ascii="Garamond" w:hAnsi="Garamond" w:cs="Calibri"/>
                <w:color w:val="000000"/>
                <w:sz w:val="18"/>
                <w:szCs w:val="18"/>
              </w:rPr>
            </w:pPr>
            <w:r w:rsidRPr="0079485F">
              <w:rPr>
                <w:rFonts w:ascii="Garamond" w:hAnsi="Garamond" w:cs="Calibri"/>
                <w:color w:val="000000"/>
                <w:sz w:val="18"/>
                <w:szCs w:val="18"/>
              </w:rPr>
              <w:t>Monza-Brianza</w:t>
            </w:r>
          </w:p>
        </w:tc>
        <w:tc>
          <w:tcPr>
            <w:tcW w:w="574"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655,7</w:t>
            </w:r>
          </w:p>
        </w:tc>
        <w:tc>
          <w:tcPr>
            <w:tcW w:w="470"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933,0</w:t>
            </w:r>
          </w:p>
        </w:tc>
        <w:tc>
          <w:tcPr>
            <w:tcW w:w="369"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773,7</w:t>
            </w:r>
          </w:p>
        </w:tc>
        <w:tc>
          <w:tcPr>
            <w:tcW w:w="579"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88,4</w:t>
            </w:r>
          </w:p>
        </w:tc>
        <w:tc>
          <w:tcPr>
            <w:tcW w:w="460"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596,2</w:t>
            </w:r>
          </w:p>
        </w:tc>
        <w:tc>
          <w:tcPr>
            <w:tcW w:w="373"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304,3</w:t>
            </w:r>
          </w:p>
        </w:tc>
        <w:tc>
          <w:tcPr>
            <w:tcW w:w="579"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540,9</w:t>
            </w:r>
          </w:p>
        </w:tc>
        <w:tc>
          <w:tcPr>
            <w:tcW w:w="460"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271,7</w:t>
            </w:r>
          </w:p>
        </w:tc>
        <w:tc>
          <w:tcPr>
            <w:tcW w:w="371" w:type="pct"/>
            <w:tcBorders>
              <w:top w:val="nil"/>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426,4</w:t>
            </w:r>
          </w:p>
        </w:tc>
      </w:tr>
      <w:tr w:rsidR="00D77B0E" w:rsidRPr="0079485F" w:rsidTr="00D73F13">
        <w:trPr>
          <w:trHeight w:val="165"/>
        </w:trPr>
        <w:tc>
          <w:tcPr>
            <w:tcW w:w="764" w:type="pct"/>
            <w:tcBorders>
              <w:top w:val="nil"/>
              <w:left w:val="nil"/>
              <w:bottom w:val="nil"/>
              <w:right w:val="nil"/>
            </w:tcBorders>
            <w:shd w:val="clear" w:color="auto" w:fill="auto"/>
            <w:noWrap/>
            <w:vAlign w:val="bottom"/>
            <w:hideMark/>
          </w:tcPr>
          <w:p w:rsidR="00D77B0E" w:rsidRPr="0079485F" w:rsidRDefault="00D77B0E" w:rsidP="00D73F13">
            <w:pPr>
              <w:rPr>
                <w:rFonts w:ascii="Garamond" w:hAnsi="Garamond" w:cs="Calibri"/>
                <w:color w:val="000000"/>
                <w:sz w:val="10"/>
                <w:szCs w:val="10"/>
              </w:rPr>
            </w:pPr>
          </w:p>
        </w:tc>
        <w:tc>
          <w:tcPr>
            <w:tcW w:w="574"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47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36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373"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371"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r>
      <w:tr w:rsidR="00D77B0E" w:rsidRPr="0079485F" w:rsidTr="00D73F13">
        <w:trPr>
          <w:trHeight w:val="240"/>
        </w:trPr>
        <w:tc>
          <w:tcPr>
            <w:tcW w:w="764"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rPr>
                <w:rFonts w:ascii="Garamond" w:hAnsi="Garamond" w:cs="Calibri"/>
                <w:b/>
                <w:bCs/>
                <w:color w:val="000000"/>
                <w:sz w:val="18"/>
                <w:szCs w:val="18"/>
              </w:rPr>
            </w:pPr>
            <w:r w:rsidRPr="0079485F">
              <w:rPr>
                <w:rFonts w:ascii="Garamond" w:hAnsi="Garamond" w:cs="Calibri"/>
                <w:b/>
                <w:bCs/>
                <w:color w:val="000000"/>
                <w:sz w:val="18"/>
                <w:szCs w:val="18"/>
              </w:rPr>
              <w:t>Lombardia</w:t>
            </w:r>
          </w:p>
        </w:tc>
        <w:tc>
          <w:tcPr>
            <w:tcW w:w="574"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638,7</w:t>
            </w:r>
          </w:p>
        </w:tc>
        <w:tc>
          <w:tcPr>
            <w:tcW w:w="470"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936,3</w:t>
            </w:r>
          </w:p>
        </w:tc>
        <w:tc>
          <w:tcPr>
            <w:tcW w:w="369"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762,9</w:t>
            </w:r>
          </w:p>
        </w:tc>
        <w:tc>
          <w:tcPr>
            <w:tcW w:w="579"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88,6</w:t>
            </w:r>
          </w:p>
        </w:tc>
        <w:tc>
          <w:tcPr>
            <w:tcW w:w="460"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597,5</w:t>
            </w:r>
          </w:p>
        </w:tc>
        <w:tc>
          <w:tcPr>
            <w:tcW w:w="373"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301,0</w:t>
            </w:r>
          </w:p>
        </w:tc>
        <w:tc>
          <w:tcPr>
            <w:tcW w:w="579"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531,8</w:t>
            </w:r>
          </w:p>
        </w:tc>
        <w:tc>
          <w:tcPr>
            <w:tcW w:w="460"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287,5</w:t>
            </w:r>
          </w:p>
        </w:tc>
        <w:tc>
          <w:tcPr>
            <w:tcW w:w="371"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b/>
                <w:bCs/>
                <w:color w:val="000000"/>
                <w:sz w:val="18"/>
                <w:szCs w:val="18"/>
              </w:rPr>
            </w:pPr>
            <w:r w:rsidRPr="0079485F">
              <w:rPr>
                <w:rFonts w:ascii="Garamond" w:hAnsi="Garamond" w:cs="Calibri"/>
                <w:b/>
                <w:bCs/>
                <w:color w:val="000000"/>
                <w:sz w:val="18"/>
                <w:szCs w:val="18"/>
              </w:rPr>
              <w:t>429,9</w:t>
            </w:r>
          </w:p>
        </w:tc>
      </w:tr>
      <w:tr w:rsidR="00D77B0E" w:rsidRPr="0079485F" w:rsidTr="00D73F13">
        <w:trPr>
          <w:trHeight w:val="165"/>
        </w:trPr>
        <w:tc>
          <w:tcPr>
            <w:tcW w:w="764" w:type="pct"/>
            <w:tcBorders>
              <w:top w:val="nil"/>
              <w:left w:val="nil"/>
              <w:bottom w:val="nil"/>
              <w:right w:val="nil"/>
            </w:tcBorders>
            <w:shd w:val="clear" w:color="auto" w:fill="auto"/>
            <w:noWrap/>
            <w:vAlign w:val="bottom"/>
            <w:hideMark/>
          </w:tcPr>
          <w:p w:rsidR="00D77B0E" w:rsidRPr="0079485F" w:rsidRDefault="00D77B0E" w:rsidP="00D73F13">
            <w:pPr>
              <w:rPr>
                <w:rFonts w:ascii="Garamond" w:hAnsi="Garamond" w:cs="Calibri"/>
                <w:color w:val="000000"/>
                <w:sz w:val="10"/>
                <w:szCs w:val="10"/>
              </w:rPr>
            </w:pPr>
          </w:p>
        </w:tc>
        <w:tc>
          <w:tcPr>
            <w:tcW w:w="574"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47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36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373"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579"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460"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c>
          <w:tcPr>
            <w:tcW w:w="371" w:type="pct"/>
            <w:tcBorders>
              <w:top w:val="nil"/>
              <w:left w:val="nil"/>
              <w:bottom w:val="nil"/>
              <w:right w:val="nil"/>
            </w:tcBorders>
            <w:shd w:val="clear" w:color="auto" w:fill="auto"/>
            <w:noWrap/>
            <w:vAlign w:val="bottom"/>
            <w:hideMark/>
          </w:tcPr>
          <w:p w:rsidR="00D77B0E" w:rsidRPr="0079485F" w:rsidRDefault="00D77B0E" w:rsidP="00D73F13">
            <w:pPr>
              <w:jc w:val="center"/>
              <w:rPr>
                <w:rFonts w:ascii="Garamond" w:hAnsi="Garamond" w:cs="Calibri"/>
                <w:color w:val="000000"/>
                <w:sz w:val="10"/>
                <w:szCs w:val="10"/>
              </w:rPr>
            </w:pPr>
          </w:p>
        </w:tc>
      </w:tr>
      <w:tr w:rsidR="00D77B0E" w:rsidRPr="0079485F" w:rsidTr="00D73F13">
        <w:trPr>
          <w:trHeight w:val="240"/>
        </w:trPr>
        <w:tc>
          <w:tcPr>
            <w:tcW w:w="764"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rPr>
                <w:rFonts w:ascii="Garamond" w:hAnsi="Garamond" w:cs="Calibri"/>
                <w:color w:val="000000"/>
                <w:sz w:val="18"/>
                <w:szCs w:val="18"/>
              </w:rPr>
            </w:pPr>
            <w:r w:rsidRPr="0079485F">
              <w:rPr>
                <w:rFonts w:ascii="Garamond" w:hAnsi="Garamond" w:cs="Calibri"/>
                <w:color w:val="000000"/>
                <w:sz w:val="18"/>
                <w:szCs w:val="18"/>
              </w:rPr>
              <w:t>Nord</w:t>
            </w:r>
          </w:p>
        </w:tc>
        <w:tc>
          <w:tcPr>
            <w:tcW w:w="574"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602,8</w:t>
            </w:r>
          </w:p>
        </w:tc>
        <w:tc>
          <w:tcPr>
            <w:tcW w:w="470"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896,2</w:t>
            </w:r>
          </w:p>
        </w:tc>
        <w:tc>
          <w:tcPr>
            <w:tcW w:w="369"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725,9</w:t>
            </w:r>
          </w:p>
        </w:tc>
        <w:tc>
          <w:tcPr>
            <w:tcW w:w="579"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85,5</w:t>
            </w:r>
          </w:p>
        </w:tc>
        <w:tc>
          <w:tcPr>
            <w:tcW w:w="460"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545,6</w:t>
            </w:r>
          </w:p>
        </w:tc>
        <w:tc>
          <w:tcPr>
            <w:tcW w:w="373"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278,6</w:t>
            </w:r>
          </w:p>
        </w:tc>
        <w:tc>
          <w:tcPr>
            <w:tcW w:w="579"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502,2</w:t>
            </w:r>
          </w:p>
        </w:tc>
        <w:tc>
          <w:tcPr>
            <w:tcW w:w="460"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298,0</w:t>
            </w:r>
          </w:p>
        </w:tc>
        <w:tc>
          <w:tcPr>
            <w:tcW w:w="371" w:type="pct"/>
            <w:tcBorders>
              <w:top w:val="single" w:sz="4" w:space="0" w:color="auto"/>
              <w:left w:val="nil"/>
              <w:bottom w:val="single" w:sz="4" w:space="0" w:color="auto"/>
              <w:right w:val="nil"/>
            </w:tcBorders>
            <w:shd w:val="clear" w:color="auto" w:fill="auto"/>
            <w:noWrap/>
            <w:vAlign w:val="bottom"/>
            <w:hideMark/>
          </w:tcPr>
          <w:p w:rsidR="00D77B0E" w:rsidRPr="0079485F" w:rsidRDefault="00D77B0E" w:rsidP="00D73F13">
            <w:pPr>
              <w:jc w:val="center"/>
              <w:rPr>
                <w:rFonts w:ascii="Garamond" w:hAnsi="Garamond" w:cs="Calibri"/>
                <w:color w:val="000000"/>
                <w:sz w:val="18"/>
                <w:szCs w:val="18"/>
              </w:rPr>
            </w:pPr>
            <w:r w:rsidRPr="0079485F">
              <w:rPr>
                <w:rFonts w:ascii="Garamond" w:hAnsi="Garamond" w:cs="Calibri"/>
                <w:color w:val="000000"/>
                <w:sz w:val="18"/>
                <w:szCs w:val="18"/>
              </w:rPr>
              <w:t>416,5</w:t>
            </w:r>
          </w:p>
        </w:tc>
      </w:tr>
    </w:tbl>
    <w:p w:rsidR="00D77B0E" w:rsidRPr="00441580" w:rsidRDefault="00D77B0E" w:rsidP="00D77B0E">
      <w:pPr>
        <w:rPr>
          <w:rFonts w:asciiTheme="majorHAnsi" w:hAnsiTheme="majorHAnsi"/>
          <w:i/>
          <w:iCs/>
          <w:sz w:val="18"/>
          <w:szCs w:val="18"/>
        </w:rPr>
      </w:pPr>
      <w:r w:rsidRPr="00441580">
        <w:rPr>
          <w:rFonts w:asciiTheme="majorHAnsi" w:hAnsiTheme="majorHAnsi"/>
          <w:i/>
          <w:iCs/>
          <w:sz w:val="18"/>
          <w:szCs w:val="18"/>
        </w:rPr>
        <w:t xml:space="preserve">Fonte: </w:t>
      </w:r>
      <w:r>
        <w:rPr>
          <w:rFonts w:asciiTheme="majorHAnsi" w:hAnsiTheme="majorHAnsi"/>
          <w:i/>
          <w:iCs/>
          <w:sz w:val="18"/>
          <w:szCs w:val="18"/>
        </w:rPr>
        <w:t>Elaborazione su dati Inps</w:t>
      </w:r>
    </w:p>
    <w:p w:rsidR="00D77B0E" w:rsidRDefault="00D77B0E" w:rsidP="00D77B0E">
      <w:pPr>
        <w:rPr>
          <w:rFonts w:asciiTheme="majorHAnsi" w:hAnsiTheme="majorHAnsi" w:cs="Verdana"/>
          <w:i/>
          <w:sz w:val="18"/>
          <w:szCs w:val="18"/>
        </w:rPr>
      </w:pPr>
    </w:p>
    <w:p w:rsidR="00D77B0E" w:rsidRDefault="00D77B0E" w:rsidP="00D77B0E">
      <w:pPr>
        <w:rPr>
          <w:rFonts w:asciiTheme="majorHAnsi" w:hAnsiTheme="majorHAnsi" w:cs="Verdana"/>
          <w:i/>
          <w:sz w:val="18"/>
          <w:szCs w:val="18"/>
        </w:rPr>
      </w:pPr>
    </w:p>
    <w:p w:rsidR="00D77B0E" w:rsidRPr="00AD478D" w:rsidRDefault="00D77B0E" w:rsidP="00D77B0E">
      <w:pPr>
        <w:rPr>
          <w:rFonts w:ascii="Garamond" w:eastAsiaTheme="minorHAnsi" w:hAnsi="Garamond" w:cs="Garamond-Bold"/>
          <w:b/>
          <w:bCs/>
          <w:sz w:val="20"/>
          <w:szCs w:val="20"/>
          <w:lang w:eastAsia="en-US"/>
        </w:rPr>
      </w:pPr>
      <w:r w:rsidRPr="00AD478D">
        <w:rPr>
          <w:rFonts w:ascii="Garamond" w:eastAsiaTheme="minorHAnsi" w:hAnsi="Garamond" w:cs="Garamond-Bold"/>
          <w:b/>
          <w:bCs/>
          <w:sz w:val="20"/>
          <w:szCs w:val="20"/>
          <w:lang w:eastAsia="en-US"/>
        </w:rPr>
        <w:t>Importo medio pensioni di vecchiaia erogate agli anziani, per sottocategoria, provincia e sesso</w:t>
      </w:r>
    </w:p>
    <w:tbl>
      <w:tblPr>
        <w:tblW w:w="9300" w:type="dxa"/>
        <w:tblInd w:w="55" w:type="dxa"/>
        <w:tblCellMar>
          <w:left w:w="70" w:type="dxa"/>
          <w:right w:w="70" w:type="dxa"/>
        </w:tblCellMar>
        <w:tblLook w:val="04A0"/>
      </w:tblPr>
      <w:tblGrid>
        <w:gridCol w:w="1560"/>
        <w:gridCol w:w="976"/>
        <w:gridCol w:w="802"/>
        <w:gridCol w:w="802"/>
        <w:gridCol w:w="976"/>
        <w:gridCol w:w="802"/>
        <w:gridCol w:w="802"/>
        <w:gridCol w:w="1048"/>
        <w:gridCol w:w="858"/>
        <w:gridCol w:w="674"/>
      </w:tblGrid>
      <w:tr w:rsidR="00D77B0E" w:rsidRPr="00A22C8A" w:rsidTr="00D73F13">
        <w:trPr>
          <w:trHeight w:val="240"/>
        </w:trPr>
        <w:tc>
          <w:tcPr>
            <w:tcW w:w="1560" w:type="dxa"/>
            <w:vMerge w:val="restart"/>
            <w:tcBorders>
              <w:top w:val="single" w:sz="4" w:space="0" w:color="auto"/>
              <w:left w:val="nil"/>
              <w:bottom w:val="single" w:sz="4" w:space="0" w:color="000000"/>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 </w:t>
            </w:r>
          </w:p>
        </w:tc>
        <w:tc>
          <w:tcPr>
            <w:tcW w:w="2580" w:type="dxa"/>
            <w:gridSpan w:val="3"/>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 xml:space="preserve">Totale Vecchiaia, di cui </w:t>
            </w:r>
          </w:p>
        </w:tc>
        <w:tc>
          <w:tcPr>
            <w:tcW w:w="2580" w:type="dxa"/>
            <w:gridSpan w:val="3"/>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Anzianità</w:t>
            </w:r>
          </w:p>
        </w:tc>
        <w:tc>
          <w:tcPr>
            <w:tcW w:w="2580" w:type="dxa"/>
            <w:gridSpan w:val="3"/>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Vecchiaia</w:t>
            </w:r>
          </w:p>
        </w:tc>
      </w:tr>
      <w:tr w:rsidR="00D77B0E" w:rsidRPr="00A22C8A" w:rsidTr="00D73F13">
        <w:trPr>
          <w:trHeight w:val="240"/>
        </w:trPr>
        <w:tc>
          <w:tcPr>
            <w:tcW w:w="1560" w:type="dxa"/>
            <w:vMerge/>
            <w:tcBorders>
              <w:top w:val="single" w:sz="4" w:space="0" w:color="auto"/>
              <w:left w:val="nil"/>
              <w:bottom w:val="single" w:sz="4" w:space="0" w:color="000000"/>
              <w:right w:val="nil"/>
            </w:tcBorders>
            <w:vAlign w:val="center"/>
            <w:hideMark/>
          </w:tcPr>
          <w:p w:rsidR="00D77B0E" w:rsidRPr="00A22C8A" w:rsidRDefault="00D77B0E" w:rsidP="00D73F13">
            <w:pPr>
              <w:rPr>
                <w:rFonts w:ascii="Garamond" w:hAnsi="Garamond" w:cs="Calibri"/>
                <w:color w:val="000000"/>
                <w:sz w:val="18"/>
                <w:szCs w:val="18"/>
              </w:rPr>
            </w:pPr>
          </w:p>
        </w:tc>
        <w:tc>
          <w:tcPr>
            <w:tcW w:w="976"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femmine</w:t>
            </w:r>
          </w:p>
        </w:tc>
        <w:tc>
          <w:tcPr>
            <w:tcW w:w="802"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Maschi</w:t>
            </w:r>
          </w:p>
        </w:tc>
        <w:tc>
          <w:tcPr>
            <w:tcW w:w="802"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totale</w:t>
            </w:r>
          </w:p>
        </w:tc>
        <w:tc>
          <w:tcPr>
            <w:tcW w:w="976"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femmine</w:t>
            </w:r>
          </w:p>
        </w:tc>
        <w:tc>
          <w:tcPr>
            <w:tcW w:w="802"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maschi</w:t>
            </w:r>
          </w:p>
        </w:tc>
        <w:tc>
          <w:tcPr>
            <w:tcW w:w="802"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totale</w:t>
            </w:r>
          </w:p>
        </w:tc>
        <w:tc>
          <w:tcPr>
            <w:tcW w:w="1048"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femmine</w:t>
            </w:r>
          </w:p>
        </w:tc>
        <w:tc>
          <w:tcPr>
            <w:tcW w:w="858"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maschi</w:t>
            </w:r>
          </w:p>
        </w:tc>
        <w:tc>
          <w:tcPr>
            <w:tcW w:w="674"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totale</w:t>
            </w:r>
          </w:p>
        </w:tc>
      </w:tr>
      <w:tr w:rsidR="00D77B0E" w:rsidRPr="00A22C8A" w:rsidTr="00D73F13">
        <w:trPr>
          <w:trHeight w:val="240"/>
        </w:trPr>
        <w:tc>
          <w:tcPr>
            <w:tcW w:w="1560" w:type="dxa"/>
            <w:tcBorders>
              <w:top w:val="nil"/>
              <w:left w:val="nil"/>
              <w:bottom w:val="nil"/>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Varese</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662,4</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1.380,9</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1.013,5</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1.133,1</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1.610,8</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1.515,9</w:t>
            </w:r>
          </w:p>
        </w:tc>
        <w:tc>
          <w:tcPr>
            <w:tcW w:w="104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551,9</w:t>
            </w:r>
          </w:p>
        </w:tc>
        <w:tc>
          <w:tcPr>
            <w:tcW w:w="85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825,3</w:t>
            </w:r>
          </w:p>
        </w:tc>
        <w:tc>
          <w:tcPr>
            <w:tcW w:w="674"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620,7</w:t>
            </w:r>
          </w:p>
        </w:tc>
      </w:tr>
      <w:tr w:rsidR="00D77B0E" w:rsidRPr="00A22C8A" w:rsidTr="00D73F13">
        <w:trPr>
          <w:trHeight w:val="240"/>
        </w:trPr>
        <w:tc>
          <w:tcPr>
            <w:tcW w:w="1560" w:type="dxa"/>
            <w:tcBorders>
              <w:top w:val="nil"/>
              <w:left w:val="nil"/>
              <w:bottom w:val="nil"/>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Como</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638,6</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1.274,3</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948,5</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1.148,1</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1.506,6</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1.438,2</w:t>
            </w:r>
          </w:p>
        </w:tc>
        <w:tc>
          <w:tcPr>
            <w:tcW w:w="104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539,0</w:t>
            </w:r>
          </w:p>
        </w:tc>
        <w:tc>
          <w:tcPr>
            <w:tcW w:w="85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784,0</w:t>
            </w:r>
          </w:p>
        </w:tc>
        <w:tc>
          <w:tcPr>
            <w:tcW w:w="674"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604,4</w:t>
            </w:r>
          </w:p>
        </w:tc>
      </w:tr>
      <w:tr w:rsidR="00D77B0E" w:rsidRPr="00A22C8A" w:rsidTr="00D73F13">
        <w:trPr>
          <w:trHeight w:val="240"/>
        </w:trPr>
        <w:tc>
          <w:tcPr>
            <w:tcW w:w="1560" w:type="dxa"/>
            <w:tcBorders>
              <w:top w:val="nil"/>
              <w:left w:val="nil"/>
              <w:bottom w:val="nil"/>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Sondrio</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516,8</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1.105,8</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808,4</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784,4</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1.313,4</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1.218,2</w:t>
            </w:r>
          </w:p>
        </w:tc>
        <w:tc>
          <w:tcPr>
            <w:tcW w:w="104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464,5</w:t>
            </w:r>
          </w:p>
        </w:tc>
        <w:tc>
          <w:tcPr>
            <w:tcW w:w="85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713,4</w:t>
            </w:r>
          </w:p>
        </w:tc>
        <w:tc>
          <w:tcPr>
            <w:tcW w:w="674"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535,7</w:t>
            </w:r>
          </w:p>
        </w:tc>
      </w:tr>
      <w:tr w:rsidR="00D77B0E" w:rsidRPr="00A22C8A" w:rsidTr="00D73F13">
        <w:trPr>
          <w:trHeight w:val="240"/>
        </w:trPr>
        <w:tc>
          <w:tcPr>
            <w:tcW w:w="1560" w:type="dxa"/>
            <w:tcBorders>
              <w:top w:val="nil"/>
              <w:left w:val="nil"/>
              <w:bottom w:val="nil"/>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Milano</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772,1</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1.685,7</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1.240,4</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1.432,0</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2.034,2</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1.918,9</w:t>
            </w:r>
          </w:p>
        </w:tc>
        <w:tc>
          <w:tcPr>
            <w:tcW w:w="104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628,6</w:t>
            </w:r>
          </w:p>
        </w:tc>
        <w:tc>
          <w:tcPr>
            <w:tcW w:w="85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1.070,3</w:t>
            </w:r>
          </w:p>
        </w:tc>
        <w:tc>
          <w:tcPr>
            <w:tcW w:w="674"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762,6</w:t>
            </w:r>
          </w:p>
        </w:tc>
      </w:tr>
      <w:tr w:rsidR="00D77B0E" w:rsidRPr="002F4583" w:rsidTr="00D73F13">
        <w:trPr>
          <w:trHeight w:val="240"/>
        </w:trPr>
        <w:tc>
          <w:tcPr>
            <w:tcW w:w="1560" w:type="dxa"/>
            <w:tcBorders>
              <w:top w:val="nil"/>
              <w:left w:val="nil"/>
              <w:bottom w:val="nil"/>
              <w:right w:val="nil"/>
            </w:tcBorders>
            <w:shd w:val="clear" w:color="auto" w:fill="auto"/>
            <w:noWrap/>
            <w:vAlign w:val="bottom"/>
            <w:hideMark/>
          </w:tcPr>
          <w:p w:rsidR="00D77B0E" w:rsidRPr="002F4583" w:rsidRDefault="00D77B0E" w:rsidP="00D73F13">
            <w:pPr>
              <w:rPr>
                <w:rFonts w:ascii="Garamond" w:hAnsi="Garamond" w:cs="Calibri"/>
                <w:b/>
                <w:color w:val="000000"/>
                <w:sz w:val="18"/>
                <w:szCs w:val="18"/>
              </w:rPr>
            </w:pPr>
            <w:r w:rsidRPr="002F4583">
              <w:rPr>
                <w:rFonts w:ascii="Garamond" w:hAnsi="Garamond" w:cs="Calibri"/>
                <w:b/>
                <w:color w:val="000000"/>
                <w:sz w:val="18"/>
                <w:szCs w:val="18"/>
              </w:rPr>
              <w:t>Bergamo</w:t>
            </w:r>
          </w:p>
        </w:tc>
        <w:tc>
          <w:tcPr>
            <w:tcW w:w="976"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549,9</w:t>
            </w:r>
          </w:p>
        </w:tc>
        <w:tc>
          <w:tcPr>
            <w:tcW w:w="802"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1.180,0</w:t>
            </w:r>
          </w:p>
        </w:tc>
        <w:tc>
          <w:tcPr>
            <w:tcW w:w="802"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888,2</w:t>
            </w:r>
          </w:p>
        </w:tc>
        <w:tc>
          <w:tcPr>
            <w:tcW w:w="976"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1.035,3</w:t>
            </w:r>
          </w:p>
        </w:tc>
        <w:tc>
          <w:tcPr>
            <w:tcW w:w="802"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1.388,8</w:t>
            </w:r>
          </w:p>
        </w:tc>
        <w:tc>
          <w:tcPr>
            <w:tcW w:w="802"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1.343,5</w:t>
            </w:r>
          </w:p>
        </w:tc>
        <w:tc>
          <w:tcPr>
            <w:tcW w:w="1048"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479,5</w:t>
            </w:r>
          </w:p>
        </w:tc>
        <w:tc>
          <w:tcPr>
            <w:tcW w:w="858"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660,0</w:t>
            </w:r>
          </w:p>
        </w:tc>
        <w:tc>
          <w:tcPr>
            <w:tcW w:w="674" w:type="dxa"/>
            <w:tcBorders>
              <w:top w:val="nil"/>
              <w:left w:val="nil"/>
              <w:bottom w:val="nil"/>
              <w:right w:val="nil"/>
            </w:tcBorders>
            <w:shd w:val="clear" w:color="auto" w:fill="auto"/>
            <w:noWrap/>
            <w:vAlign w:val="bottom"/>
            <w:hideMark/>
          </w:tcPr>
          <w:p w:rsidR="00D77B0E" w:rsidRPr="002F4583" w:rsidRDefault="00D77B0E" w:rsidP="00D73F13">
            <w:pPr>
              <w:jc w:val="center"/>
              <w:rPr>
                <w:rFonts w:ascii="Garamond" w:hAnsi="Garamond" w:cs="Calibri"/>
                <w:b/>
                <w:color w:val="000000"/>
                <w:sz w:val="18"/>
                <w:szCs w:val="18"/>
              </w:rPr>
            </w:pPr>
            <w:r w:rsidRPr="002F4583">
              <w:rPr>
                <w:rFonts w:ascii="Garamond" w:hAnsi="Garamond" w:cs="Calibri"/>
                <w:b/>
                <w:color w:val="000000"/>
                <w:sz w:val="18"/>
                <w:szCs w:val="18"/>
              </w:rPr>
              <w:t>530,4</w:t>
            </w:r>
          </w:p>
        </w:tc>
      </w:tr>
      <w:tr w:rsidR="00D77B0E" w:rsidRPr="00A22C8A" w:rsidTr="00D73F13">
        <w:trPr>
          <w:trHeight w:val="240"/>
        </w:trPr>
        <w:tc>
          <w:tcPr>
            <w:tcW w:w="1560" w:type="dxa"/>
            <w:tcBorders>
              <w:top w:val="nil"/>
              <w:left w:val="nil"/>
              <w:bottom w:val="nil"/>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Brescia</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577,1</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1.229,0</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936,1</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966,0</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1.419,5</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1.361,9</w:t>
            </w:r>
          </w:p>
        </w:tc>
        <w:tc>
          <w:tcPr>
            <w:tcW w:w="104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518,9</w:t>
            </w:r>
          </w:p>
        </w:tc>
        <w:tc>
          <w:tcPr>
            <w:tcW w:w="85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769,7</w:t>
            </w:r>
          </w:p>
        </w:tc>
        <w:tc>
          <w:tcPr>
            <w:tcW w:w="674"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591,6</w:t>
            </w:r>
          </w:p>
        </w:tc>
      </w:tr>
      <w:tr w:rsidR="00D77B0E" w:rsidRPr="00A22C8A" w:rsidTr="00D73F13">
        <w:trPr>
          <w:trHeight w:val="240"/>
        </w:trPr>
        <w:tc>
          <w:tcPr>
            <w:tcW w:w="1560" w:type="dxa"/>
            <w:tcBorders>
              <w:top w:val="nil"/>
              <w:left w:val="nil"/>
              <w:bottom w:val="nil"/>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Pavia</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642,7</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1.271,4</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944,6</w:t>
            </w: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1.025,8</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1.449,2</w:t>
            </w: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1.366,9</w:t>
            </w:r>
          </w:p>
        </w:tc>
        <w:tc>
          <w:tcPr>
            <w:tcW w:w="104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563,8</w:t>
            </w:r>
          </w:p>
        </w:tc>
        <w:tc>
          <w:tcPr>
            <w:tcW w:w="85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891,1</w:t>
            </w:r>
          </w:p>
        </w:tc>
        <w:tc>
          <w:tcPr>
            <w:tcW w:w="674"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649,7</w:t>
            </w:r>
          </w:p>
        </w:tc>
      </w:tr>
      <w:tr w:rsidR="00D77B0E" w:rsidRPr="00A22C8A" w:rsidTr="00D73F13">
        <w:trPr>
          <w:trHeight w:val="240"/>
        </w:trPr>
        <w:tc>
          <w:tcPr>
            <w:tcW w:w="1560" w:type="dxa"/>
            <w:tcBorders>
              <w:top w:val="nil"/>
              <w:left w:val="nil"/>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Cremona</w:t>
            </w:r>
          </w:p>
        </w:tc>
        <w:tc>
          <w:tcPr>
            <w:tcW w:w="976" w:type="dxa"/>
            <w:tcBorders>
              <w:top w:val="nil"/>
              <w:left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612,6</w:t>
            </w:r>
          </w:p>
        </w:tc>
        <w:tc>
          <w:tcPr>
            <w:tcW w:w="802" w:type="dxa"/>
            <w:tcBorders>
              <w:top w:val="nil"/>
              <w:left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1.266,1</w:t>
            </w:r>
          </w:p>
        </w:tc>
        <w:tc>
          <w:tcPr>
            <w:tcW w:w="802" w:type="dxa"/>
            <w:tcBorders>
              <w:top w:val="nil"/>
              <w:left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947,6</w:t>
            </w:r>
          </w:p>
        </w:tc>
        <w:tc>
          <w:tcPr>
            <w:tcW w:w="976" w:type="dxa"/>
            <w:tcBorders>
              <w:top w:val="nil"/>
              <w:left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1.031,1</w:t>
            </w:r>
          </w:p>
        </w:tc>
        <w:tc>
          <w:tcPr>
            <w:tcW w:w="802" w:type="dxa"/>
            <w:tcBorders>
              <w:top w:val="nil"/>
              <w:left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1.425,4</w:t>
            </w:r>
          </w:p>
        </w:tc>
        <w:tc>
          <w:tcPr>
            <w:tcW w:w="802" w:type="dxa"/>
            <w:tcBorders>
              <w:top w:val="nil"/>
              <w:left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1.364,1</w:t>
            </w:r>
          </w:p>
        </w:tc>
        <w:tc>
          <w:tcPr>
            <w:tcW w:w="1048" w:type="dxa"/>
            <w:tcBorders>
              <w:top w:val="nil"/>
              <w:left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535,6</w:t>
            </w:r>
          </w:p>
        </w:tc>
        <w:tc>
          <w:tcPr>
            <w:tcW w:w="858" w:type="dxa"/>
            <w:tcBorders>
              <w:top w:val="nil"/>
              <w:left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819,0</w:t>
            </w:r>
          </w:p>
        </w:tc>
        <w:tc>
          <w:tcPr>
            <w:tcW w:w="674" w:type="dxa"/>
            <w:tcBorders>
              <w:top w:val="nil"/>
              <w:left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605,7</w:t>
            </w:r>
          </w:p>
        </w:tc>
      </w:tr>
      <w:tr w:rsidR="00D77B0E" w:rsidRPr="00A22C8A" w:rsidTr="00D73F13">
        <w:trPr>
          <w:trHeight w:val="240"/>
        </w:trPr>
        <w:tc>
          <w:tcPr>
            <w:tcW w:w="1560" w:type="dxa"/>
            <w:tcBorders>
              <w:left w:val="nil"/>
              <w:right w:val="nil"/>
            </w:tcBorders>
            <w:shd w:val="clear" w:color="auto" w:fill="auto"/>
            <w:noWrap/>
            <w:vAlign w:val="bottom"/>
            <w:hideMark/>
          </w:tcPr>
          <w:p w:rsidR="00D77B0E" w:rsidRPr="009F6ACC" w:rsidRDefault="00D77B0E" w:rsidP="00D73F13">
            <w:pPr>
              <w:rPr>
                <w:rFonts w:ascii="Garamond" w:hAnsi="Garamond" w:cs="Calibri"/>
                <w:bCs/>
                <w:color w:val="000000"/>
                <w:sz w:val="18"/>
                <w:szCs w:val="18"/>
              </w:rPr>
            </w:pPr>
            <w:r w:rsidRPr="009F6ACC">
              <w:rPr>
                <w:rFonts w:ascii="Garamond" w:hAnsi="Garamond" w:cs="Calibri"/>
                <w:bCs/>
                <w:color w:val="000000"/>
                <w:sz w:val="18"/>
                <w:szCs w:val="18"/>
              </w:rPr>
              <w:t>Mantova</w:t>
            </w:r>
          </w:p>
        </w:tc>
        <w:tc>
          <w:tcPr>
            <w:tcW w:w="976"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583,5</w:t>
            </w:r>
          </w:p>
        </w:tc>
        <w:tc>
          <w:tcPr>
            <w:tcW w:w="802"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1.143,7</w:t>
            </w:r>
          </w:p>
        </w:tc>
        <w:tc>
          <w:tcPr>
            <w:tcW w:w="802"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861,3</w:t>
            </w:r>
          </w:p>
        </w:tc>
        <w:tc>
          <w:tcPr>
            <w:tcW w:w="976"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848,7</w:t>
            </w:r>
          </w:p>
        </w:tc>
        <w:tc>
          <w:tcPr>
            <w:tcW w:w="802"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1.315,3</w:t>
            </w:r>
          </w:p>
        </w:tc>
        <w:tc>
          <w:tcPr>
            <w:tcW w:w="802"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1.227,1</w:t>
            </w:r>
          </w:p>
        </w:tc>
        <w:tc>
          <w:tcPr>
            <w:tcW w:w="1048"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532,3</w:t>
            </w:r>
          </w:p>
        </w:tc>
        <w:tc>
          <w:tcPr>
            <w:tcW w:w="858"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725,7</w:t>
            </w:r>
          </w:p>
        </w:tc>
        <w:tc>
          <w:tcPr>
            <w:tcW w:w="674" w:type="dxa"/>
            <w:tcBorders>
              <w:left w:val="nil"/>
              <w:right w:val="nil"/>
            </w:tcBorders>
            <w:shd w:val="clear" w:color="auto" w:fill="auto"/>
            <w:noWrap/>
            <w:vAlign w:val="bottom"/>
            <w:hideMark/>
          </w:tcPr>
          <w:p w:rsidR="00D77B0E" w:rsidRPr="009F6ACC" w:rsidRDefault="00D77B0E" w:rsidP="00D73F13">
            <w:pPr>
              <w:jc w:val="center"/>
              <w:rPr>
                <w:rFonts w:ascii="Garamond" w:hAnsi="Garamond" w:cs="Calibri"/>
                <w:bCs/>
                <w:color w:val="000000"/>
                <w:sz w:val="18"/>
                <w:szCs w:val="18"/>
              </w:rPr>
            </w:pPr>
            <w:r w:rsidRPr="009F6ACC">
              <w:rPr>
                <w:rFonts w:ascii="Garamond" w:hAnsi="Garamond" w:cs="Calibri"/>
                <w:bCs/>
                <w:color w:val="000000"/>
                <w:sz w:val="18"/>
                <w:szCs w:val="18"/>
              </w:rPr>
              <w:t>582,4</w:t>
            </w:r>
          </w:p>
        </w:tc>
      </w:tr>
      <w:tr w:rsidR="00D77B0E" w:rsidRPr="002F4583" w:rsidTr="00D73F13">
        <w:trPr>
          <w:trHeight w:val="240"/>
        </w:trPr>
        <w:tc>
          <w:tcPr>
            <w:tcW w:w="1560" w:type="dxa"/>
            <w:tcBorders>
              <w:left w:val="nil"/>
              <w:right w:val="nil"/>
            </w:tcBorders>
            <w:shd w:val="clear" w:color="auto" w:fill="auto"/>
            <w:noWrap/>
            <w:vAlign w:val="bottom"/>
            <w:hideMark/>
          </w:tcPr>
          <w:p w:rsidR="00D77B0E" w:rsidRPr="002F4583" w:rsidRDefault="00D77B0E" w:rsidP="00D73F13">
            <w:pPr>
              <w:rPr>
                <w:rFonts w:ascii="Garamond" w:hAnsi="Garamond" w:cs="Calibri"/>
                <w:color w:val="000000"/>
                <w:sz w:val="18"/>
                <w:szCs w:val="18"/>
              </w:rPr>
            </w:pPr>
            <w:r w:rsidRPr="002F4583">
              <w:rPr>
                <w:rFonts w:ascii="Garamond" w:hAnsi="Garamond" w:cs="Calibri"/>
                <w:color w:val="000000"/>
                <w:sz w:val="18"/>
                <w:szCs w:val="18"/>
              </w:rPr>
              <w:t>Lecco</w:t>
            </w:r>
          </w:p>
        </w:tc>
        <w:tc>
          <w:tcPr>
            <w:tcW w:w="976"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606,4</w:t>
            </w:r>
          </w:p>
        </w:tc>
        <w:tc>
          <w:tcPr>
            <w:tcW w:w="802"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1.414,8</w:t>
            </w:r>
          </w:p>
        </w:tc>
        <w:tc>
          <w:tcPr>
            <w:tcW w:w="802"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1.006,6</w:t>
            </w:r>
          </w:p>
        </w:tc>
        <w:tc>
          <w:tcPr>
            <w:tcW w:w="976"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1.194,3</w:t>
            </w:r>
          </w:p>
        </w:tc>
        <w:tc>
          <w:tcPr>
            <w:tcW w:w="802"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1.629,2</w:t>
            </w:r>
          </w:p>
        </w:tc>
        <w:tc>
          <w:tcPr>
            <w:tcW w:w="802"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1.568,4</w:t>
            </w:r>
          </w:p>
        </w:tc>
        <w:tc>
          <w:tcPr>
            <w:tcW w:w="1048"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516,5</w:t>
            </w:r>
          </w:p>
        </w:tc>
        <w:tc>
          <w:tcPr>
            <w:tcW w:w="858"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828,2</w:t>
            </w:r>
          </w:p>
        </w:tc>
        <w:tc>
          <w:tcPr>
            <w:tcW w:w="674" w:type="dxa"/>
            <w:tcBorders>
              <w:left w:val="nil"/>
              <w:right w:val="nil"/>
            </w:tcBorders>
            <w:shd w:val="clear" w:color="auto" w:fill="auto"/>
            <w:noWrap/>
            <w:vAlign w:val="bottom"/>
            <w:hideMark/>
          </w:tcPr>
          <w:p w:rsidR="00D77B0E" w:rsidRPr="002F4583" w:rsidRDefault="00D77B0E" w:rsidP="00D73F13">
            <w:pPr>
              <w:jc w:val="center"/>
              <w:rPr>
                <w:rFonts w:ascii="Garamond" w:hAnsi="Garamond" w:cs="Calibri"/>
                <w:color w:val="000000"/>
                <w:sz w:val="18"/>
                <w:szCs w:val="18"/>
              </w:rPr>
            </w:pPr>
            <w:r w:rsidRPr="002F4583">
              <w:rPr>
                <w:rFonts w:ascii="Garamond" w:hAnsi="Garamond" w:cs="Calibri"/>
                <w:color w:val="000000"/>
                <w:sz w:val="18"/>
                <w:szCs w:val="18"/>
              </w:rPr>
              <w:t>587,1</w:t>
            </w:r>
          </w:p>
        </w:tc>
      </w:tr>
      <w:tr w:rsidR="00D77B0E" w:rsidRPr="00A22C8A" w:rsidTr="00D73F13">
        <w:trPr>
          <w:trHeight w:val="240"/>
        </w:trPr>
        <w:tc>
          <w:tcPr>
            <w:tcW w:w="1560" w:type="dxa"/>
            <w:tcBorders>
              <w:left w:val="nil"/>
              <w:bottom w:val="nil"/>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Lodi</w:t>
            </w:r>
          </w:p>
        </w:tc>
        <w:tc>
          <w:tcPr>
            <w:tcW w:w="976" w:type="dxa"/>
            <w:tcBorders>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636,8</w:t>
            </w:r>
          </w:p>
        </w:tc>
        <w:tc>
          <w:tcPr>
            <w:tcW w:w="802" w:type="dxa"/>
            <w:tcBorders>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1.398,0</w:t>
            </w:r>
          </w:p>
        </w:tc>
        <w:tc>
          <w:tcPr>
            <w:tcW w:w="802" w:type="dxa"/>
            <w:tcBorders>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1.037,2</w:t>
            </w:r>
          </w:p>
        </w:tc>
        <w:tc>
          <w:tcPr>
            <w:tcW w:w="976" w:type="dxa"/>
            <w:tcBorders>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1.183,9</w:t>
            </w:r>
          </w:p>
        </w:tc>
        <w:tc>
          <w:tcPr>
            <w:tcW w:w="802" w:type="dxa"/>
            <w:tcBorders>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1.579,1</w:t>
            </w:r>
          </w:p>
        </w:tc>
        <w:tc>
          <w:tcPr>
            <w:tcW w:w="802" w:type="dxa"/>
            <w:tcBorders>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1.528,2</w:t>
            </w:r>
          </w:p>
        </w:tc>
        <w:tc>
          <w:tcPr>
            <w:tcW w:w="1048" w:type="dxa"/>
            <w:tcBorders>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546,3</w:t>
            </w:r>
          </w:p>
        </w:tc>
        <w:tc>
          <w:tcPr>
            <w:tcW w:w="858" w:type="dxa"/>
            <w:tcBorders>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840,9</w:t>
            </w:r>
          </w:p>
        </w:tc>
        <w:tc>
          <w:tcPr>
            <w:tcW w:w="674" w:type="dxa"/>
            <w:tcBorders>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617,0</w:t>
            </w:r>
          </w:p>
        </w:tc>
      </w:tr>
      <w:tr w:rsidR="00D77B0E" w:rsidRPr="00A22C8A" w:rsidTr="00D73F13">
        <w:trPr>
          <w:trHeight w:val="240"/>
        </w:trPr>
        <w:tc>
          <w:tcPr>
            <w:tcW w:w="1560" w:type="dxa"/>
            <w:tcBorders>
              <w:top w:val="nil"/>
              <w:left w:val="nil"/>
              <w:bottom w:val="single" w:sz="4" w:space="0" w:color="auto"/>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Monza-Brianza</w:t>
            </w:r>
          </w:p>
        </w:tc>
        <w:tc>
          <w:tcPr>
            <w:tcW w:w="976"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676,0</w:t>
            </w:r>
          </w:p>
        </w:tc>
        <w:tc>
          <w:tcPr>
            <w:tcW w:w="802"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1.490,1</w:t>
            </w:r>
          </w:p>
        </w:tc>
        <w:tc>
          <w:tcPr>
            <w:tcW w:w="802"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1.093,6</w:t>
            </w:r>
          </w:p>
        </w:tc>
        <w:tc>
          <w:tcPr>
            <w:tcW w:w="976"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1.268,0</w:t>
            </w:r>
          </w:p>
        </w:tc>
        <w:tc>
          <w:tcPr>
            <w:tcW w:w="802"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1.757,4</w:t>
            </w:r>
          </w:p>
        </w:tc>
        <w:tc>
          <w:tcPr>
            <w:tcW w:w="802"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1.675,8</w:t>
            </w:r>
          </w:p>
        </w:tc>
        <w:tc>
          <w:tcPr>
            <w:tcW w:w="1048"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555,2</w:t>
            </w:r>
          </w:p>
        </w:tc>
        <w:tc>
          <w:tcPr>
            <w:tcW w:w="858"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901,7</w:t>
            </w:r>
          </w:p>
        </w:tc>
        <w:tc>
          <w:tcPr>
            <w:tcW w:w="674" w:type="dxa"/>
            <w:tcBorders>
              <w:top w:val="nil"/>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649,1</w:t>
            </w:r>
          </w:p>
        </w:tc>
      </w:tr>
      <w:tr w:rsidR="00D77B0E" w:rsidRPr="00A22C8A" w:rsidTr="00D73F13">
        <w:trPr>
          <w:trHeight w:val="165"/>
        </w:trPr>
        <w:tc>
          <w:tcPr>
            <w:tcW w:w="1560" w:type="dxa"/>
            <w:tcBorders>
              <w:top w:val="nil"/>
              <w:left w:val="nil"/>
              <w:bottom w:val="nil"/>
              <w:right w:val="nil"/>
            </w:tcBorders>
            <w:shd w:val="clear" w:color="auto" w:fill="auto"/>
            <w:noWrap/>
            <w:vAlign w:val="bottom"/>
            <w:hideMark/>
          </w:tcPr>
          <w:p w:rsidR="00D77B0E" w:rsidRPr="00A22C8A" w:rsidRDefault="00D77B0E" w:rsidP="00D73F13">
            <w:pP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104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5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674"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r>
      <w:tr w:rsidR="00D77B0E" w:rsidRPr="00A22C8A" w:rsidTr="00D73F13">
        <w:trPr>
          <w:trHeight w:val="240"/>
        </w:trPr>
        <w:tc>
          <w:tcPr>
            <w:tcW w:w="1560"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rPr>
                <w:rFonts w:ascii="Garamond" w:hAnsi="Garamond" w:cs="Calibri"/>
                <w:b/>
                <w:bCs/>
                <w:color w:val="000000"/>
                <w:sz w:val="18"/>
                <w:szCs w:val="18"/>
              </w:rPr>
            </w:pPr>
            <w:r w:rsidRPr="00A22C8A">
              <w:rPr>
                <w:rFonts w:ascii="Garamond" w:hAnsi="Garamond" w:cs="Calibri"/>
                <w:b/>
                <w:bCs/>
                <w:color w:val="000000"/>
                <w:sz w:val="18"/>
                <w:szCs w:val="18"/>
              </w:rPr>
              <w:t>Lombardia</w:t>
            </w:r>
          </w:p>
        </w:tc>
        <w:tc>
          <w:tcPr>
            <w:tcW w:w="976"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667,0</w:t>
            </w:r>
          </w:p>
        </w:tc>
        <w:tc>
          <w:tcPr>
            <w:tcW w:w="802"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1.422,7</w:t>
            </w:r>
          </w:p>
        </w:tc>
        <w:tc>
          <w:tcPr>
            <w:tcW w:w="802"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1.054,0</w:t>
            </w:r>
          </w:p>
        </w:tc>
        <w:tc>
          <w:tcPr>
            <w:tcW w:w="976"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1.203,6</w:t>
            </w:r>
          </w:p>
        </w:tc>
        <w:tc>
          <w:tcPr>
            <w:tcW w:w="802"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1.669,7</w:t>
            </w:r>
          </w:p>
        </w:tc>
        <w:tc>
          <w:tcPr>
            <w:tcW w:w="802"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1.589,7</w:t>
            </w:r>
          </w:p>
        </w:tc>
        <w:tc>
          <w:tcPr>
            <w:tcW w:w="1048"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561,2</w:t>
            </w:r>
          </w:p>
        </w:tc>
        <w:tc>
          <w:tcPr>
            <w:tcW w:w="858"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891,9</w:t>
            </w:r>
          </w:p>
        </w:tc>
        <w:tc>
          <w:tcPr>
            <w:tcW w:w="674"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b/>
                <w:bCs/>
                <w:color w:val="000000"/>
                <w:sz w:val="18"/>
                <w:szCs w:val="18"/>
              </w:rPr>
            </w:pPr>
            <w:r w:rsidRPr="00A22C8A">
              <w:rPr>
                <w:rFonts w:ascii="Garamond" w:hAnsi="Garamond" w:cs="Calibri"/>
                <w:b/>
                <w:bCs/>
                <w:color w:val="000000"/>
                <w:sz w:val="18"/>
                <w:szCs w:val="18"/>
              </w:rPr>
              <w:t>653,5</w:t>
            </w:r>
          </w:p>
        </w:tc>
      </w:tr>
      <w:tr w:rsidR="00D77B0E" w:rsidRPr="00A22C8A" w:rsidTr="00D73F13">
        <w:trPr>
          <w:trHeight w:val="165"/>
        </w:trPr>
        <w:tc>
          <w:tcPr>
            <w:tcW w:w="1560" w:type="dxa"/>
            <w:tcBorders>
              <w:top w:val="nil"/>
              <w:left w:val="nil"/>
              <w:bottom w:val="nil"/>
              <w:right w:val="nil"/>
            </w:tcBorders>
            <w:shd w:val="clear" w:color="auto" w:fill="auto"/>
            <w:noWrap/>
            <w:vAlign w:val="bottom"/>
            <w:hideMark/>
          </w:tcPr>
          <w:p w:rsidR="00D77B0E" w:rsidRPr="00A22C8A" w:rsidRDefault="00D77B0E" w:rsidP="00D73F13">
            <w:pP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976"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02"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104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858"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c>
          <w:tcPr>
            <w:tcW w:w="674" w:type="dxa"/>
            <w:tcBorders>
              <w:top w:val="nil"/>
              <w:left w:val="nil"/>
              <w:bottom w:val="nil"/>
              <w:right w:val="nil"/>
            </w:tcBorders>
            <w:shd w:val="clear" w:color="auto" w:fill="auto"/>
            <w:noWrap/>
            <w:vAlign w:val="bottom"/>
            <w:hideMark/>
          </w:tcPr>
          <w:p w:rsidR="00D77B0E" w:rsidRPr="00A22C8A" w:rsidRDefault="00D77B0E" w:rsidP="00D73F13">
            <w:pPr>
              <w:jc w:val="center"/>
              <w:rPr>
                <w:rFonts w:ascii="Garamond" w:hAnsi="Garamond" w:cs="Calibri"/>
                <w:color w:val="000000"/>
                <w:sz w:val="10"/>
                <w:szCs w:val="10"/>
              </w:rPr>
            </w:pPr>
          </w:p>
        </w:tc>
      </w:tr>
      <w:tr w:rsidR="00D77B0E" w:rsidRPr="00A22C8A" w:rsidTr="00D73F13">
        <w:trPr>
          <w:trHeight w:val="240"/>
        </w:trPr>
        <w:tc>
          <w:tcPr>
            <w:tcW w:w="1560"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rPr>
                <w:rFonts w:ascii="Garamond" w:hAnsi="Garamond" w:cs="Calibri"/>
                <w:color w:val="000000"/>
                <w:sz w:val="18"/>
                <w:szCs w:val="18"/>
              </w:rPr>
            </w:pPr>
            <w:r w:rsidRPr="00A22C8A">
              <w:rPr>
                <w:rFonts w:ascii="Garamond" w:hAnsi="Garamond" w:cs="Calibri"/>
                <w:color w:val="000000"/>
                <w:sz w:val="18"/>
                <w:szCs w:val="18"/>
              </w:rPr>
              <w:t>Nord</w:t>
            </w:r>
          </w:p>
        </w:tc>
        <w:tc>
          <w:tcPr>
            <w:tcW w:w="976"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638,2</w:t>
            </w:r>
          </w:p>
        </w:tc>
        <w:tc>
          <w:tcPr>
            <w:tcW w:w="802"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1.315,4</w:t>
            </w:r>
          </w:p>
        </w:tc>
        <w:tc>
          <w:tcPr>
            <w:tcW w:w="802"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989,0</w:t>
            </w:r>
          </w:p>
        </w:tc>
        <w:tc>
          <w:tcPr>
            <w:tcW w:w="976"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1.063,2</w:t>
            </w:r>
          </w:p>
        </w:tc>
        <w:tc>
          <w:tcPr>
            <w:tcW w:w="802"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1.551,7</w:t>
            </w:r>
          </w:p>
        </w:tc>
        <w:tc>
          <w:tcPr>
            <w:tcW w:w="802"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1.464,7</w:t>
            </w:r>
          </w:p>
        </w:tc>
        <w:tc>
          <w:tcPr>
            <w:tcW w:w="1048"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551,8</w:t>
            </w:r>
          </w:p>
        </w:tc>
        <w:tc>
          <w:tcPr>
            <w:tcW w:w="858"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846,1</w:t>
            </w:r>
          </w:p>
        </w:tc>
        <w:tc>
          <w:tcPr>
            <w:tcW w:w="674" w:type="dxa"/>
            <w:tcBorders>
              <w:top w:val="single" w:sz="4" w:space="0" w:color="auto"/>
              <w:left w:val="nil"/>
              <w:bottom w:val="single" w:sz="4" w:space="0" w:color="auto"/>
              <w:right w:val="nil"/>
            </w:tcBorders>
            <w:shd w:val="clear" w:color="auto" w:fill="auto"/>
            <w:noWrap/>
            <w:vAlign w:val="bottom"/>
            <w:hideMark/>
          </w:tcPr>
          <w:p w:rsidR="00D77B0E" w:rsidRPr="00A22C8A" w:rsidRDefault="00D77B0E" w:rsidP="00D73F13">
            <w:pPr>
              <w:jc w:val="center"/>
              <w:rPr>
                <w:rFonts w:ascii="Garamond" w:hAnsi="Garamond" w:cs="Calibri"/>
                <w:color w:val="000000"/>
                <w:sz w:val="18"/>
                <w:szCs w:val="18"/>
              </w:rPr>
            </w:pPr>
            <w:r w:rsidRPr="00A22C8A">
              <w:rPr>
                <w:rFonts w:ascii="Garamond" w:hAnsi="Garamond" w:cs="Calibri"/>
                <w:color w:val="000000"/>
                <w:sz w:val="18"/>
                <w:szCs w:val="18"/>
              </w:rPr>
              <w:t>640,2</w:t>
            </w:r>
          </w:p>
        </w:tc>
      </w:tr>
    </w:tbl>
    <w:p w:rsidR="00D77B0E" w:rsidRPr="00441580" w:rsidRDefault="00D77B0E" w:rsidP="00D77B0E">
      <w:pPr>
        <w:rPr>
          <w:rFonts w:asciiTheme="majorHAnsi" w:hAnsiTheme="majorHAnsi"/>
          <w:i/>
          <w:iCs/>
          <w:sz w:val="18"/>
          <w:szCs w:val="18"/>
        </w:rPr>
      </w:pPr>
      <w:r w:rsidRPr="00441580">
        <w:rPr>
          <w:rFonts w:asciiTheme="majorHAnsi" w:hAnsiTheme="majorHAnsi"/>
          <w:i/>
          <w:iCs/>
          <w:sz w:val="18"/>
          <w:szCs w:val="18"/>
        </w:rPr>
        <w:t xml:space="preserve">Fonte: </w:t>
      </w:r>
      <w:r>
        <w:rPr>
          <w:rFonts w:asciiTheme="majorHAnsi" w:hAnsiTheme="majorHAnsi"/>
          <w:i/>
          <w:iCs/>
          <w:sz w:val="18"/>
          <w:szCs w:val="18"/>
        </w:rPr>
        <w:t>Elaborazione su dati Inps</w:t>
      </w:r>
    </w:p>
    <w:p w:rsidR="00D77B0E" w:rsidRDefault="00D77B0E" w:rsidP="00D77B0E">
      <w:pPr>
        <w:autoSpaceDE w:val="0"/>
        <w:autoSpaceDN w:val="0"/>
        <w:adjustRightInd w:val="0"/>
        <w:spacing w:line="320" w:lineRule="exact"/>
        <w:jc w:val="both"/>
        <w:rPr>
          <w:rFonts w:asciiTheme="majorHAnsi" w:eastAsiaTheme="minorHAnsi" w:hAnsiTheme="majorHAnsi" w:cs="Garamond"/>
          <w:sz w:val="22"/>
          <w:szCs w:val="22"/>
          <w:lang w:eastAsia="en-US"/>
        </w:rPr>
      </w:pPr>
    </w:p>
    <w:p w:rsidR="00D77B0E" w:rsidRDefault="00D77B0E" w:rsidP="00D77B0E">
      <w:pPr>
        <w:autoSpaceDE w:val="0"/>
        <w:autoSpaceDN w:val="0"/>
        <w:adjustRightInd w:val="0"/>
        <w:spacing w:line="360" w:lineRule="auto"/>
        <w:jc w:val="both"/>
        <w:rPr>
          <w:rFonts w:eastAsiaTheme="minorHAnsi"/>
          <w:lang w:eastAsia="en-US"/>
        </w:rPr>
      </w:pPr>
      <w:r>
        <w:rPr>
          <w:rFonts w:eastAsiaTheme="minorHAnsi"/>
          <w:lang w:eastAsia="en-US"/>
        </w:rPr>
        <w:t>In parte correlato ai dati sul reddito disponibile e da pensione, è il valore della</w:t>
      </w:r>
      <w:r w:rsidRPr="000F56E0">
        <w:rPr>
          <w:rFonts w:eastAsiaTheme="minorHAnsi"/>
          <w:lang w:eastAsia="en-US"/>
        </w:rPr>
        <w:t xml:space="preserve"> consistenza dei depositi delle famiglie consumatrici e delle istituzioni sociali</w:t>
      </w:r>
      <w:r>
        <w:rPr>
          <w:rFonts w:eastAsiaTheme="minorHAnsi"/>
          <w:lang w:eastAsia="en-US"/>
        </w:rPr>
        <w:t xml:space="preserve"> rilevato presso la provincia di Bergamo, che </w:t>
      </w:r>
      <w:r w:rsidRPr="000F56E0">
        <w:rPr>
          <w:rFonts w:eastAsiaTheme="minorHAnsi"/>
          <w:lang w:eastAsia="en-US"/>
        </w:rPr>
        <w:t>mostra per il 2012 livelli di risparmio (1</w:t>
      </w:r>
      <w:r>
        <w:rPr>
          <w:rFonts w:eastAsiaTheme="minorHAnsi"/>
          <w:lang w:eastAsia="en-US"/>
        </w:rPr>
        <w:t>5</w:t>
      </w:r>
      <w:r w:rsidRPr="000F56E0">
        <w:rPr>
          <w:rFonts w:eastAsiaTheme="minorHAnsi"/>
          <w:lang w:eastAsia="en-US"/>
        </w:rPr>
        <w:t>.</w:t>
      </w:r>
      <w:r>
        <w:rPr>
          <w:rFonts w:eastAsiaTheme="minorHAnsi"/>
          <w:lang w:eastAsia="en-US"/>
        </w:rPr>
        <w:t>33</w:t>
      </w:r>
      <w:r w:rsidRPr="000F56E0">
        <w:rPr>
          <w:rFonts w:eastAsiaTheme="minorHAnsi"/>
          <w:lang w:eastAsia="en-US"/>
        </w:rPr>
        <w:t xml:space="preserve">8) non elevati se confrontati con la media regionale (17.963).  </w:t>
      </w:r>
    </w:p>
    <w:p w:rsidR="00D77B0E" w:rsidRDefault="00D77B0E" w:rsidP="00D77B0E">
      <w:pPr>
        <w:autoSpaceDE w:val="0"/>
        <w:autoSpaceDN w:val="0"/>
        <w:adjustRightInd w:val="0"/>
        <w:spacing w:line="360" w:lineRule="auto"/>
        <w:jc w:val="both"/>
        <w:rPr>
          <w:rFonts w:eastAsiaTheme="minorHAnsi"/>
          <w:lang w:eastAsia="en-US"/>
        </w:rPr>
      </w:pPr>
    </w:p>
    <w:p w:rsidR="00D77B0E" w:rsidRPr="000F56E0" w:rsidRDefault="00D77B0E" w:rsidP="00D77B0E">
      <w:pPr>
        <w:autoSpaceDE w:val="0"/>
        <w:autoSpaceDN w:val="0"/>
        <w:adjustRightInd w:val="0"/>
        <w:spacing w:line="360" w:lineRule="auto"/>
        <w:jc w:val="both"/>
        <w:rPr>
          <w:rFonts w:eastAsiaTheme="minorHAnsi"/>
          <w:lang w:eastAsia="en-US"/>
        </w:rPr>
      </w:pPr>
    </w:p>
    <w:p w:rsidR="00D77B0E" w:rsidRPr="00E959AB" w:rsidRDefault="00D77B0E" w:rsidP="00D77B0E">
      <w:pPr>
        <w:rPr>
          <w:rFonts w:ascii="Garamond" w:hAnsi="Garamond" w:cs="Verdana"/>
          <w:b/>
          <w:sz w:val="20"/>
          <w:szCs w:val="20"/>
        </w:rPr>
      </w:pPr>
      <w:r w:rsidRPr="00E959AB">
        <w:rPr>
          <w:rFonts w:ascii="Garamond" w:hAnsi="Garamond" w:cs="Verdana"/>
          <w:b/>
          <w:sz w:val="20"/>
          <w:szCs w:val="20"/>
        </w:rPr>
        <w:t xml:space="preserve">Depositi e risparmio postale: distribuzione per </w:t>
      </w:r>
      <w:r>
        <w:rPr>
          <w:rFonts w:ascii="Garamond" w:hAnsi="Garamond" w:cs="Verdana"/>
          <w:b/>
          <w:sz w:val="20"/>
          <w:szCs w:val="20"/>
        </w:rPr>
        <w:t xml:space="preserve">abitante per </w:t>
      </w:r>
      <w:r w:rsidRPr="00E959AB">
        <w:rPr>
          <w:rFonts w:ascii="Garamond" w:hAnsi="Garamond" w:cs="Verdana"/>
          <w:b/>
          <w:sz w:val="20"/>
          <w:szCs w:val="20"/>
        </w:rPr>
        <w:t>localizzazione della clientela.</w:t>
      </w:r>
    </w:p>
    <w:p w:rsidR="00D77B0E" w:rsidRPr="00E959AB" w:rsidRDefault="00D77B0E" w:rsidP="00D77B0E">
      <w:pPr>
        <w:rPr>
          <w:rFonts w:ascii="Garamond" w:hAnsi="Garamond" w:cs="Verdana"/>
          <w:b/>
          <w:sz w:val="20"/>
          <w:szCs w:val="20"/>
        </w:rPr>
      </w:pPr>
      <w:r w:rsidRPr="00E959AB">
        <w:rPr>
          <w:rFonts w:ascii="Garamond" w:hAnsi="Garamond" w:cs="Verdana"/>
          <w:b/>
          <w:sz w:val="20"/>
          <w:szCs w:val="20"/>
        </w:rPr>
        <w:t>Famiglie Consumatrici, Istituz. Soc. Private e dati non classificabili. Anno 2012.</w:t>
      </w:r>
      <w:r>
        <w:rPr>
          <w:rFonts w:ascii="Garamond" w:hAnsi="Garamond" w:cs="Verdana"/>
          <w:b/>
          <w:sz w:val="20"/>
          <w:szCs w:val="20"/>
        </w:rPr>
        <w:t xml:space="preserve"> Migliaia di euro</w:t>
      </w:r>
    </w:p>
    <w:p w:rsidR="00D77B0E" w:rsidRPr="00E959AB" w:rsidRDefault="00D77B0E" w:rsidP="00D77B0E">
      <w:pPr>
        <w:rPr>
          <w:rFonts w:ascii="Garamond" w:hAnsi="Garamond" w:cs="Verdana"/>
          <w:b/>
          <w:sz w:val="20"/>
          <w:szCs w:val="20"/>
        </w:rPr>
      </w:pPr>
      <w:r w:rsidRPr="00E959AB">
        <w:rPr>
          <w:rFonts w:ascii="Garamond" w:hAnsi="Garamond" w:cs="Verdana"/>
          <w:b/>
          <w:noProof/>
          <w:sz w:val="20"/>
          <w:szCs w:val="20"/>
        </w:rPr>
        <w:drawing>
          <wp:inline distT="0" distB="0" distL="0" distR="0">
            <wp:extent cx="5063066" cy="2574566"/>
            <wp:effectExtent l="0" t="0" r="444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9616" cy="2577897"/>
                    </a:xfrm>
                    <a:prstGeom prst="rect">
                      <a:avLst/>
                    </a:prstGeom>
                    <a:noFill/>
                  </pic:spPr>
                </pic:pic>
              </a:graphicData>
            </a:graphic>
          </wp:inline>
        </w:drawing>
      </w:r>
    </w:p>
    <w:p w:rsidR="00D77B0E" w:rsidRDefault="00D77B0E" w:rsidP="00D77B0E">
      <w:pPr>
        <w:rPr>
          <w:rFonts w:asciiTheme="majorHAnsi" w:hAnsiTheme="majorHAnsi"/>
          <w:i/>
          <w:iCs/>
          <w:sz w:val="18"/>
          <w:szCs w:val="18"/>
        </w:rPr>
      </w:pPr>
      <w:r w:rsidRPr="00E959AB">
        <w:rPr>
          <w:rFonts w:asciiTheme="majorHAnsi" w:hAnsiTheme="majorHAnsi"/>
          <w:i/>
          <w:iCs/>
          <w:sz w:val="18"/>
          <w:szCs w:val="18"/>
        </w:rPr>
        <w:t>Fonte: Banca d'Italia</w:t>
      </w:r>
    </w:p>
    <w:p w:rsidR="00D77B0E" w:rsidRDefault="00D77B0E" w:rsidP="00D77B0E">
      <w:pPr>
        <w:spacing w:line="360" w:lineRule="auto"/>
        <w:jc w:val="both"/>
      </w:pPr>
    </w:p>
    <w:p w:rsidR="00D77B0E" w:rsidRDefault="00D77B0E" w:rsidP="00D77B0E">
      <w:pPr>
        <w:spacing w:line="360" w:lineRule="auto"/>
        <w:jc w:val="both"/>
      </w:pPr>
      <w:r>
        <w:t>Tuttavia la variazione annuale dei depositi mostra come negli ultimi 3 anni tali consistenze siano cresciute in modo considerevole nella quasi totalità delle province, a conferma che i comportamenti economici delle famiglie necessitano di complesse analisi per essere spiegati.</w:t>
      </w:r>
    </w:p>
    <w:p w:rsidR="00D77B0E" w:rsidRDefault="00D77B0E" w:rsidP="00D77B0E">
      <w:pPr>
        <w:spacing w:line="360" w:lineRule="auto"/>
        <w:jc w:val="both"/>
      </w:pPr>
    </w:p>
    <w:p w:rsidR="00D77B0E" w:rsidRPr="00022E0B" w:rsidRDefault="00D77B0E" w:rsidP="00D77B0E">
      <w:pPr>
        <w:rPr>
          <w:rFonts w:ascii="Garamond" w:hAnsi="Garamond"/>
          <w:b/>
          <w:sz w:val="20"/>
          <w:szCs w:val="20"/>
        </w:rPr>
      </w:pPr>
      <w:r w:rsidRPr="00022E0B">
        <w:rPr>
          <w:rFonts w:ascii="Garamond" w:hAnsi="Garamond"/>
          <w:b/>
          <w:sz w:val="20"/>
          <w:szCs w:val="20"/>
        </w:rPr>
        <w:t>Depositi e risparmio postale per abitante: distribuzione per localizzazione della clientela. Famiglie Consumatrici, Istituz. Soc. Private e dati non classificabili</w:t>
      </w:r>
    </w:p>
    <w:tbl>
      <w:tblPr>
        <w:tblW w:w="6160" w:type="dxa"/>
        <w:tblInd w:w="55" w:type="dxa"/>
        <w:tblCellMar>
          <w:left w:w="70" w:type="dxa"/>
          <w:right w:w="70" w:type="dxa"/>
        </w:tblCellMar>
        <w:tblLook w:val="04A0"/>
      </w:tblPr>
      <w:tblGrid>
        <w:gridCol w:w="2380"/>
        <w:gridCol w:w="1260"/>
        <w:gridCol w:w="1260"/>
        <w:gridCol w:w="1260"/>
      </w:tblGrid>
      <w:tr w:rsidR="00D77B0E" w:rsidRPr="00022E0B" w:rsidTr="00D73F13">
        <w:trPr>
          <w:trHeight w:val="240"/>
        </w:trPr>
        <w:tc>
          <w:tcPr>
            <w:tcW w:w="2380" w:type="dxa"/>
            <w:tcBorders>
              <w:top w:val="single" w:sz="4" w:space="0" w:color="auto"/>
              <w:left w:val="nil"/>
              <w:bottom w:val="single" w:sz="4" w:space="0" w:color="auto"/>
              <w:right w:val="nil"/>
            </w:tcBorders>
            <w:shd w:val="clear" w:color="auto" w:fill="auto"/>
            <w:hideMark/>
          </w:tcPr>
          <w:p w:rsidR="00D77B0E" w:rsidRPr="00022E0B" w:rsidRDefault="00D77B0E" w:rsidP="00D73F13">
            <w:pPr>
              <w:jc w:val="center"/>
              <w:rPr>
                <w:rFonts w:ascii="Garamond" w:hAnsi="Garamond" w:cs="Calibri"/>
                <w:b/>
                <w:bCs/>
                <w:color w:val="000000"/>
                <w:sz w:val="18"/>
                <w:szCs w:val="18"/>
              </w:rPr>
            </w:pPr>
            <w:r w:rsidRPr="00022E0B">
              <w:rPr>
                <w:rFonts w:ascii="Garamond" w:hAnsi="Garamond" w:cs="Calibri"/>
                <w:b/>
                <w:bCs/>
                <w:color w:val="000000"/>
                <w:sz w:val="18"/>
                <w:szCs w:val="18"/>
              </w:rPr>
              <w:t> </w:t>
            </w:r>
          </w:p>
        </w:tc>
        <w:tc>
          <w:tcPr>
            <w:tcW w:w="1260" w:type="dxa"/>
            <w:tcBorders>
              <w:top w:val="single" w:sz="4" w:space="0" w:color="auto"/>
              <w:left w:val="nil"/>
              <w:bottom w:val="single" w:sz="4" w:space="0" w:color="auto"/>
              <w:right w:val="nil"/>
            </w:tcBorders>
          </w:tcPr>
          <w:p w:rsidR="00D77B0E" w:rsidRPr="00022E0B" w:rsidRDefault="00D77B0E" w:rsidP="00D73F13">
            <w:pPr>
              <w:jc w:val="center"/>
              <w:rPr>
                <w:rFonts w:ascii="Garamond" w:hAnsi="Garamond" w:cs="Calibri"/>
                <w:b/>
                <w:bCs/>
                <w:color w:val="000000"/>
                <w:sz w:val="18"/>
                <w:szCs w:val="18"/>
              </w:rPr>
            </w:pPr>
            <w:r w:rsidRPr="00022E0B">
              <w:rPr>
                <w:rFonts w:ascii="Garamond" w:hAnsi="Garamond" w:cs="Calibri"/>
                <w:b/>
                <w:bCs/>
                <w:color w:val="000000"/>
                <w:sz w:val="18"/>
                <w:szCs w:val="18"/>
              </w:rPr>
              <w:t>2010</w:t>
            </w:r>
          </w:p>
        </w:tc>
        <w:tc>
          <w:tcPr>
            <w:tcW w:w="1260" w:type="dxa"/>
            <w:tcBorders>
              <w:top w:val="single" w:sz="4" w:space="0" w:color="auto"/>
              <w:left w:val="nil"/>
              <w:bottom w:val="single" w:sz="4" w:space="0" w:color="auto"/>
              <w:right w:val="nil"/>
            </w:tcBorders>
            <w:vAlign w:val="bottom"/>
          </w:tcPr>
          <w:p w:rsidR="00D77B0E" w:rsidRPr="00022E0B" w:rsidRDefault="00D77B0E" w:rsidP="00D73F13">
            <w:pPr>
              <w:jc w:val="center"/>
              <w:rPr>
                <w:rFonts w:ascii="Garamond" w:hAnsi="Garamond" w:cs="Calibri"/>
                <w:b/>
                <w:bCs/>
                <w:color w:val="000000"/>
                <w:sz w:val="18"/>
                <w:szCs w:val="18"/>
              </w:rPr>
            </w:pPr>
            <w:r w:rsidRPr="00022E0B">
              <w:rPr>
                <w:rFonts w:ascii="Garamond" w:hAnsi="Garamond" w:cs="Calibri"/>
                <w:b/>
                <w:bCs/>
                <w:color w:val="000000"/>
                <w:sz w:val="18"/>
                <w:szCs w:val="18"/>
              </w:rPr>
              <w:t>2011</w:t>
            </w:r>
          </w:p>
        </w:tc>
        <w:tc>
          <w:tcPr>
            <w:tcW w:w="1260" w:type="dxa"/>
            <w:tcBorders>
              <w:top w:val="single" w:sz="4" w:space="0" w:color="auto"/>
              <w:left w:val="nil"/>
              <w:bottom w:val="single" w:sz="4" w:space="0" w:color="auto"/>
              <w:right w:val="nil"/>
            </w:tcBorders>
          </w:tcPr>
          <w:p w:rsidR="00D77B0E" w:rsidRPr="00022E0B" w:rsidRDefault="00D77B0E" w:rsidP="00D73F13">
            <w:pPr>
              <w:jc w:val="center"/>
              <w:rPr>
                <w:rFonts w:ascii="Garamond" w:hAnsi="Garamond" w:cs="Calibri"/>
                <w:b/>
                <w:bCs/>
                <w:color w:val="000000"/>
                <w:sz w:val="18"/>
                <w:szCs w:val="18"/>
              </w:rPr>
            </w:pPr>
            <w:r w:rsidRPr="00022E0B">
              <w:rPr>
                <w:rFonts w:ascii="Garamond" w:hAnsi="Garamond" w:cs="Calibri"/>
                <w:b/>
                <w:bCs/>
                <w:color w:val="000000"/>
                <w:sz w:val="18"/>
                <w:szCs w:val="18"/>
              </w:rPr>
              <w:t>2012</w:t>
            </w:r>
          </w:p>
        </w:tc>
      </w:tr>
      <w:tr w:rsidR="00D77B0E" w:rsidRPr="00022E0B" w:rsidTr="00D73F13">
        <w:trPr>
          <w:trHeight w:val="240"/>
        </w:trPr>
        <w:tc>
          <w:tcPr>
            <w:tcW w:w="2380" w:type="dxa"/>
            <w:tcBorders>
              <w:top w:val="nil"/>
              <w:left w:val="nil"/>
              <w:bottom w:val="nil"/>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Varese</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14.678,22</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14.923,86</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16.451,29</w:t>
            </w:r>
          </w:p>
        </w:tc>
      </w:tr>
      <w:tr w:rsidR="00D77B0E" w:rsidRPr="00022E0B" w:rsidTr="00D73F13">
        <w:trPr>
          <w:trHeight w:val="240"/>
        </w:trPr>
        <w:tc>
          <w:tcPr>
            <w:tcW w:w="2380" w:type="dxa"/>
            <w:tcBorders>
              <w:top w:val="nil"/>
              <w:left w:val="nil"/>
              <w:bottom w:val="nil"/>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Como</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15.968,58</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15.862,23</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17.540,94</w:t>
            </w:r>
          </w:p>
        </w:tc>
      </w:tr>
      <w:tr w:rsidR="00D77B0E" w:rsidRPr="00022E0B" w:rsidTr="00D73F13">
        <w:trPr>
          <w:trHeight w:val="240"/>
        </w:trPr>
        <w:tc>
          <w:tcPr>
            <w:tcW w:w="2380" w:type="dxa"/>
            <w:tcBorders>
              <w:top w:val="nil"/>
              <w:left w:val="nil"/>
              <w:bottom w:val="nil"/>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Sondrio</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16.405,80</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17.271,40</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18.258,27</w:t>
            </w:r>
          </w:p>
        </w:tc>
      </w:tr>
      <w:tr w:rsidR="00D77B0E" w:rsidRPr="00022E0B" w:rsidTr="00D73F13">
        <w:trPr>
          <w:trHeight w:val="240"/>
        </w:trPr>
        <w:tc>
          <w:tcPr>
            <w:tcW w:w="2380" w:type="dxa"/>
            <w:tcBorders>
              <w:top w:val="nil"/>
              <w:left w:val="nil"/>
              <w:bottom w:val="single" w:sz="4" w:space="0" w:color="auto"/>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Milano</w:t>
            </w:r>
          </w:p>
        </w:tc>
        <w:tc>
          <w:tcPr>
            <w:tcW w:w="1260" w:type="dxa"/>
            <w:tcBorders>
              <w:top w:val="nil"/>
              <w:left w:val="nil"/>
              <w:bottom w:val="single" w:sz="4" w:space="0" w:color="auto"/>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19.793,44</w:t>
            </w:r>
          </w:p>
        </w:tc>
        <w:tc>
          <w:tcPr>
            <w:tcW w:w="1260" w:type="dxa"/>
            <w:tcBorders>
              <w:top w:val="nil"/>
              <w:left w:val="nil"/>
              <w:bottom w:val="single" w:sz="4" w:space="0" w:color="auto"/>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19.256,42</w:t>
            </w:r>
          </w:p>
        </w:tc>
        <w:tc>
          <w:tcPr>
            <w:tcW w:w="1260" w:type="dxa"/>
            <w:tcBorders>
              <w:top w:val="nil"/>
              <w:left w:val="nil"/>
              <w:bottom w:val="single" w:sz="4" w:space="0" w:color="auto"/>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22.610,67</w:t>
            </w:r>
          </w:p>
        </w:tc>
      </w:tr>
      <w:tr w:rsidR="00D77B0E" w:rsidRPr="00022E0B" w:rsidTr="00D73F13">
        <w:trPr>
          <w:trHeight w:val="240"/>
        </w:trPr>
        <w:tc>
          <w:tcPr>
            <w:tcW w:w="2380" w:type="dxa"/>
            <w:tcBorders>
              <w:top w:val="single" w:sz="4" w:space="0" w:color="auto"/>
              <w:left w:val="nil"/>
              <w:bottom w:val="single" w:sz="4" w:space="0" w:color="auto"/>
              <w:right w:val="nil"/>
            </w:tcBorders>
            <w:shd w:val="clear" w:color="auto" w:fill="auto"/>
            <w:noWrap/>
            <w:vAlign w:val="bottom"/>
            <w:hideMark/>
          </w:tcPr>
          <w:p w:rsidR="00D77B0E" w:rsidRPr="00022E0B" w:rsidRDefault="00D77B0E" w:rsidP="00D73F13">
            <w:pPr>
              <w:rPr>
                <w:rFonts w:ascii="Garamond" w:hAnsi="Garamond" w:cs="Calibri"/>
                <w:b/>
                <w:color w:val="000000"/>
                <w:sz w:val="18"/>
                <w:szCs w:val="18"/>
              </w:rPr>
            </w:pPr>
            <w:r w:rsidRPr="00022E0B">
              <w:rPr>
                <w:rFonts w:ascii="Garamond" w:hAnsi="Garamond" w:cs="Calibri"/>
                <w:b/>
                <w:color w:val="000000"/>
                <w:sz w:val="18"/>
                <w:szCs w:val="18"/>
              </w:rPr>
              <w:t>Bergamo</w:t>
            </w:r>
          </w:p>
        </w:tc>
        <w:tc>
          <w:tcPr>
            <w:tcW w:w="1260" w:type="dxa"/>
            <w:tcBorders>
              <w:top w:val="single" w:sz="4" w:space="0" w:color="auto"/>
              <w:left w:val="nil"/>
              <w:bottom w:val="single" w:sz="4" w:space="0" w:color="auto"/>
              <w:right w:val="nil"/>
            </w:tcBorders>
          </w:tcPr>
          <w:p w:rsidR="00D77B0E" w:rsidRPr="00022E0B" w:rsidRDefault="00D77B0E" w:rsidP="00D73F13">
            <w:pPr>
              <w:jc w:val="center"/>
              <w:rPr>
                <w:rFonts w:ascii="Garamond" w:hAnsi="Garamond" w:cs="Calibri"/>
                <w:b/>
                <w:sz w:val="18"/>
                <w:szCs w:val="18"/>
              </w:rPr>
            </w:pPr>
            <w:r w:rsidRPr="00022E0B">
              <w:rPr>
                <w:rFonts w:ascii="Garamond" w:hAnsi="Garamond" w:cs="Calibri"/>
                <w:b/>
                <w:sz w:val="18"/>
                <w:szCs w:val="18"/>
              </w:rPr>
              <w:t>13.704,53</w:t>
            </w:r>
          </w:p>
        </w:tc>
        <w:tc>
          <w:tcPr>
            <w:tcW w:w="1260" w:type="dxa"/>
            <w:tcBorders>
              <w:top w:val="single" w:sz="4" w:space="0" w:color="auto"/>
              <w:left w:val="nil"/>
              <w:bottom w:val="single" w:sz="4" w:space="0" w:color="auto"/>
              <w:right w:val="nil"/>
            </w:tcBorders>
          </w:tcPr>
          <w:p w:rsidR="00D77B0E" w:rsidRPr="00022E0B" w:rsidRDefault="00D77B0E" w:rsidP="00D73F13">
            <w:pPr>
              <w:jc w:val="center"/>
              <w:rPr>
                <w:rFonts w:ascii="Garamond" w:hAnsi="Garamond" w:cs="Calibri"/>
                <w:b/>
                <w:sz w:val="18"/>
                <w:szCs w:val="18"/>
              </w:rPr>
            </w:pPr>
            <w:r w:rsidRPr="00022E0B">
              <w:rPr>
                <w:rFonts w:ascii="Garamond" w:hAnsi="Garamond" w:cs="Calibri"/>
                <w:b/>
                <w:sz w:val="18"/>
                <w:szCs w:val="18"/>
              </w:rPr>
              <w:t>14.062,10</w:t>
            </w:r>
          </w:p>
        </w:tc>
        <w:tc>
          <w:tcPr>
            <w:tcW w:w="1260" w:type="dxa"/>
            <w:tcBorders>
              <w:top w:val="single" w:sz="4" w:space="0" w:color="auto"/>
              <w:left w:val="nil"/>
              <w:bottom w:val="single" w:sz="4" w:space="0" w:color="auto"/>
              <w:right w:val="nil"/>
            </w:tcBorders>
          </w:tcPr>
          <w:p w:rsidR="00D77B0E" w:rsidRPr="00022E0B" w:rsidRDefault="00D77B0E" w:rsidP="00D73F13">
            <w:pPr>
              <w:jc w:val="center"/>
              <w:rPr>
                <w:rFonts w:ascii="Garamond" w:hAnsi="Garamond" w:cs="Calibri"/>
                <w:b/>
                <w:sz w:val="18"/>
                <w:szCs w:val="18"/>
              </w:rPr>
            </w:pPr>
            <w:r w:rsidRPr="00022E0B">
              <w:rPr>
                <w:rFonts w:ascii="Garamond" w:hAnsi="Garamond" w:cs="Calibri"/>
                <w:b/>
                <w:sz w:val="18"/>
                <w:szCs w:val="18"/>
              </w:rPr>
              <w:t>15.338,48</w:t>
            </w:r>
          </w:p>
        </w:tc>
      </w:tr>
      <w:tr w:rsidR="00D77B0E" w:rsidRPr="00022E0B" w:rsidTr="00D73F13">
        <w:trPr>
          <w:trHeight w:val="240"/>
        </w:trPr>
        <w:tc>
          <w:tcPr>
            <w:tcW w:w="2380" w:type="dxa"/>
            <w:tcBorders>
              <w:top w:val="single" w:sz="4" w:space="0" w:color="auto"/>
              <w:left w:val="nil"/>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Brescia</w:t>
            </w:r>
          </w:p>
        </w:tc>
        <w:tc>
          <w:tcPr>
            <w:tcW w:w="1260" w:type="dxa"/>
            <w:tcBorders>
              <w:top w:val="single" w:sz="4" w:space="0" w:color="auto"/>
              <w:left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13.525,78</w:t>
            </w:r>
          </w:p>
        </w:tc>
        <w:tc>
          <w:tcPr>
            <w:tcW w:w="1260" w:type="dxa"/>
            <w:tcBorders>
              <w:top w:val="single" w:sz="4" w:space="0" w:color="auto"/>
              <w:left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13.727,36</w:t>
            </w:r>
          </w:p>
        </w:tc>
        <w:tc>
          <w:tcPr>
            <w:tcW w:w="1260" w:type="dxa"/>
            <w:tcBorders>
              <w:top w:val="single" w:sz="4" w:space="0" w:color="auto"/>
              <w:left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15.498,97</w:t>
            </w:r>
          </w:p>
        </w:tc>
      </w:tr>
      <w:tr w:rsidR="00D77B0E" w:rsidRPr="00022E0B" w:rsidTr="00D73F13">
        <w:trPr>
          <w:trHeight w:val="240"/>
        </w:trPr>
        <w:tc>
          <w:tcPr>
            <w:tcW w:w="2380" w:type="dxa"/>
            <w:tcBorders>
              <w:left w:val="nil"/>
              <w:bottom w:val="nil"/>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Pavia</w:t>
            </w:r>
          </w:p>
        </w:tc>
        <w:tc>
          <w:tcPr>
            <w:tcW w:w="1260" w:type="dxa"/>
            <w:tcBorders>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14.210,25</w:t>
            </w:r>
          </w:p>
        </w:tc>
        <w:tc>
          <w:tcPr>
            <w:tcW w:w="1260" w:type="dxa"/>
            <w:tcBorders>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14.154,36</w:t>
            </w:r>
          </w:p>
        </w:tc>
        <w:tc>
          <w:tcPr>
            <w:tcW w:w="1260" w:type="dxa"/>
            <w:tcBorders>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15.866,34</w:t>
            </w:r>
          </w:p>
        </w:tc>
      </w:tr>
      <w:tr w:rsidR="00D77B0E" w:rsidRPr="00022E0B" w:rsidTr="00D73F13">
        <w:trPr>
          <w:trHeight w:val="240"/>
        </w:trPr>
        <w:tc>
          <w:tcPr>
            <w:tcW w:w="2380" w:type="dxa"/>
            <w:tcBorders>
              <w:top w:val="nil"/>
              <w:left w:val="nil"/>
              <w:bottom w:val="nil"/>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Cremona</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11.960,47</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12.038,21</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13.602,64</w:t>
            </w:r>
          </w:p>
        </w:tc>
      </w:tr>
      <w:tr w:rsidR="00D77B0E" w:rsidRPr="00022E0B" w:rsidTr="00D73F13">
        <w:trPr>
          <w:trHeight w:val="240"/>
        </w:trPr>
        <w:tc>
          <w:tcPr>
            <w:tcW w:w="2380" w:type="dxa"/>
            <w:tcBorders>
              <w:top w:val="nil"/>
              <w:left w:val="nil"/>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Mantova</w:t>
            </w:r>
          </w:p>
        </w:tc>
        <w:tc>
          <w:tcPr>
            <w:tcW w:w="1260" w:type="dxa"/>
            <w:tcBorders>
              <w:top w:val="nil"/>
              <w:left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12.821,48</w:t>
            </w:r>
          </w:p>
        </w:tc>
        <w:tc>
          <w:tcPr>
            <w:tcW w:w="1260" w:type="dxa"/>
            <w:tcBorders>
              <w:top w:val="nil"/>
              <w:left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12.874,62</w:t>
            </w:r>
          </w:p>
        </w:tc>
        <w:tc>
          <w:tcPr>
            <w:tcW w:w="1260" w:type="dxa"/>
            <w:tcBorders>
              <w:top w:val="nil"/>
              <w:left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14.885,29</w:t>
            </w:r>
          </w:p>
        </w:tc>
      </w:tr>
      <w:tr w:rsidR="00D77B0E" w:rsidRPr="00022E0B" w:rsidTr="00D73F13">
        <w:trPr>
          <w:trHeight w:val="240"/>
        </w:trPr>
        <w:tc>
          <w:tcPr>
            <w:tcW w:w="2380" w:type="dxa"/>
            <w:tcBorders>
              <w:left w:val="nil"/>
              <w:right w:val="nil"/>
            </w:tcBorders>
            <w:shd w:val="clear" w:color="auto" w:fill="auto"/>
            <w:noWrap/>
            <w:vAlign w:val="bottom"/>
            <w:hideMark/>
          </w:tcPr>
          <w:p w:rsidR="00D77B0E" w:rsidRPr="00022E0B" w:rsidRDefault="00D77B0E" w:rsidP="00D73F13">
            <w:pPr>
              <w:rPr>
                <w:rFonts w:ascii="Garamond" w:hAnsi="Garamond" w:cs="Calibri"/>
                <w:bCs/>
                <w:color w:val="000000"/>
                <w:sz w:val="18"/>
                <w:szCs w:val="18"/>
              </w:rPr>
            </w:pPr>
            <w:r w:rsidRPr="00022E0B">
              <w:rPr>
                <w:rFonts w:ascii="Garamond" w:hAnsi="Garamond" w:cs="Calibri"/>
                <w:bCs/>
                <w:color w:val="000000"/>
                <w:sz w:val="18"/>
                <w:szCs w:val="18"/>
              </w:rPr>
              <w:t>Lecco</w:t>
            </w:r>
          </w:p>
        </w:tc>
        <w:tc>
          <w:tcPr>
            <w:tcW w:w="1260" w:type="dxa"/>
            <w:tcBorders>
              <w:left w:val="nil"/>
              <w:right w:val="nil"/>
            </w:tcBorders>
          </w:tcPr>
          <w:p w:rsidR="00D77B0E" w:rsidRPr="00022E0B" w:rsidRDefault="00D77B0E" w:rsidP="00D73F13">
            <w:pPr>
              <w:jc w:val="center"/>
              <w:rPr>
                <w:rFonts w:ascii="Garamond" w:hAnsi="Garamond" w:cs="Calibri"/>
                <w:bCs/>
                <w:sz w:val="18"/>
                <w:szCs w:val="18"/>
              </w:rPr>
            </w:pPr>
            <w:r w:rsidRPr="00022E0B">
              <w:rPr>
                <w:rFonts w:ascii="Garamond" w:hAnsi="Garamond" w:cs="Calibri"/>
                <w:bCs/>
                <w:sz w:val="18"/>
                <w:szCs w:val="18"/>
              </w:rPr>
              <w:t>14.354,74</w:t>
            </w:r>
          </w:p>
        </w:tc>
        <w:tc>
          <w:tcPr>
            <w:tcW w:w="1260" w:type="dxa"/>
            <w:tcBorders>
              <w:left w:val="nil"/>
              <w:right w:val="nil"/>
            </w:tcBorders>
          </w:tcPr>
          <w:p w:rsidR="00D77B0E" w:rsidRPr="00022E0B" w:rsidRDefault="00D77B0E" w:rsidP="00D73F13">
            <w:pPr>
              <w:jc w:val="center"/>
              <w:rPr>
                <w:rFonts w:ascii="Garamond" w:hAnsi="Garamond" w:cs="Calibri"/>
                <w:bCs/>
                <w:sz w:val="18"/>
                <w:szCs w:val="18"/>
              </w:rPr>
            </w:pPr>
            <w:r w:rsidRPr="00022E0B">
              <w:rPr>
                <w:rFonts w:ascii="Garamond" w:hAnsi="Garamond" w:cs="Calibri"/>
                <w:bCs/>
                <w:sz w:val="18"/>
                <w:szCs w:val="18"/>
              </w:rPr>
              <w:t>14.615,53</w:t>
            </w:r>
          </w:p>
        </w:tc>
        <w:tc>
          <w:tcPr>
            <w:tcW w:w="1260" w:type="dxa"/>
            <w:tcBorders>
              <w:left w:val="nil"/>
              <w:right w:val="nil"/>
            </w:tcBorders>
          </w:tcPr>
          <w:p w:rsidR="00D77B0E" w:rsidRPr="00022E0B" w:rsidRDefault="00D77B0E" w:rsidP="00D73F13">
            <w:pPr>
              <w:jc w:val="center"/>
              <w:rPr>
                <w:rFonts w:ascii="Garamond" w:hAnsi="Garamond" w:cs="Calibri"/>
                <w:bCs/>
                <w:sz w:val="18"/>
                <w:szCs w:val="18"/>
              </w:rPr>
            </w:pPr>
            <w:r w:rsidRPr="00022E0B">
              <w:rPr>
                <w:rFonts w:ascii="Garamond" w:hAnsi="Garamond" w:cs="Calibri"/>
                <w:bCs/>
                <w:sz w:val="18"/>
                <w:szCs w:val="18"/>
              </w:rPr>
              <w:t>16.327,62</w:t>
            </w:r>
          </w:p>
        </w:tc>
      </w:tr>
      <w:tr w:rsidR="00D77B0E" w:rsidRPr="00022E0B" w:rsidTr="00D73F13">
        <w:trPr>
          <w:trHeight w:val="240"/>
        </w:trPr>
        <w:tc>
          <w:tcPr>
            <w:tcW w:w="2380" w:type="dxa"/>
            <w:tcBorders>
              <w:left w:val="nil"/>
              <w:bottom w:val="nil"/>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Lodi</w:t>
            </w:r>
          </w:p>
        </w:tc>
        <w:tc>
          <w:tcPr>
            <w:tcW w:w="1260" w:type="dxa"/>
            <w:tcBorders>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11.364,08</w:t>
            </w:r>
          </w:p>
        </w:tc>
        <w:tc>
          <w:tcPr>
            <w:tcW w:w="1260" w:type="dxa"/>
            <w:tcBorders>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11.771,17</w:t>
            </w:r>
          </w:p>
        </w:tc>
        <w:tc>
          <w:tcPr>
            <w:tcW w:w="1260" w:type="dxa"/>
            <w:tcBorders>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13.345,40</w:t>
            </w:r>
          </w:p>
        </w:tc>
      </w:tr>
      <w:tr w:rsidR="00D77B0E" w:rsidRPr="00022E0B" w:rsidTr="00D73F13">
        <w:trPr>
          <w:trHeight w:val="240"/>
        </w:trPr>
        <w:tc>
          <w:tcPr>
            <w:tcW w:w="2380" w:type="dxa"/>
            <w:tcBorders>
              <w:top w:val="nil"/>
              <w:left w:val="nil"/>
              <w:bottom w:val="nil"/>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Monza e Brianza</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14.380,99</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14.546,62</w:t>
            </w:r>
          </w:p>
        </w:tc>
        <w:tc>
          <w:tcPr>
            <w:tcW w:w="1260" w:type="dxa"/>
            <w:tcBorders>
              <w:top w:val="nil"/>
              <w:left w:val="nil"/>
              <w:bottom w:val="nil"/>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16.570,92</w:t>
            </w:r>
          </w:p>
        </w:tc>
      </w:tr>
      <w:tr w:rsidR="00D77B0E" w:rsidRPr="00022E0B" w:rsidTr="00D73F13">
        <w:trPr>
          <w:trHeight w:val="240"/>
        </w:trPr>
        <w:tc>
          <w:tcPr>
            <w:tcW w:w="2380" w:type="dxa"/>
            <w:tcBorders>
              <w:top w:val="single" w:sz="4" w:space="0" w:color="auto"/>
              <w:left w:val="nil"/>
              <w:bottom w:val="single" w:sz="4" w:space="0" w:color="auto"/>
              <w:right w:val="nil"/>
            </w:tcBorders>
            <w:shd w:val="clear" w:color="auto" w:fill="auto"/>
            <w:noWrap/>
            <w:vAlign w:val="bottom"/>
            <w:hideMark/>
          </w:tcPr>
          <w:p w:rsidR="00D77B0E" w:rsidRPr="00022E0B" w:rsidRDefault="00D77B0E" w:rsidP="00D73F13">
            <w:pPr>
              <w:rPr>
                <w:rFonts w:ascii="Garamond" w:hAnsi="Garamond" w:cs="Calibri"/>
                <w:color w:val="000000"/>
                <w:sz w:val="18"/>
                <w:szCs w:val="18"/>
              </w:rPr>
            </w:pPr>
            <w:r w:rsidRPr="00022E0B">
              <w:rPr>
                <w:rFonts w:ascii="Garamond" w:hAnsi="Garamond" w:cs="Calibri"/>
                <w:color w:val="000000"/>
                <w:sz w:val="18"/>
                <w:szCs w:val="18"/>
              </w:rPr>
              <w:t>Lombardia</w:t>
            </w:r>
          </w:p>
        </w:tc>
        <w:tc>
          <w:tcPr>
            <w:tcW w:w="1260" w:type="dxa"/>
            <w:tcBorders>
              <w:top w:val="single" w:sz="4" w:space="0" w:color="auto"/>
              <w:left w:val="nil"/>
              <w:bottom w:val="single" w:sz="4" w:space="0" w:color="auto"/>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15.843,43</w:t>
            </w:r>
          </w:p>
        </w:tc>
        <w:tc>
          <w:tcPr>
            <w:tcW w:w="1260" w:type="dxa"/>
            <w:tcBorders>
              <w:top w:val="single" w:sz="4" w:space="0" w:color="auto"/>
              <w:left w:val="nil"/>
              <w:bottom w:val="single" w:sz="4" w:space="0" w:color="auto"/>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15.806,07</w:t>
            </w:r>
          </w:p>
        </w:tc>
        <w:tc>
          <w:tcPr>
            <w:tcW w:w="1260" w:type="dxa"/>
            <w:tcBorders>
              <w:top w:val="single" w:sz="4" w:space="0" w:color="auto"/>
              <w:left w:val="nil"/>
              <w:bottom w:val="single" w:sz="4" w:space="0" w:color="auto"/>
              <w:right w:val="nil"/>
            </w:tcBorders>
          </w:tcPr>
          <w:p w:rsidR="00D77B0E" w:rsidRPr="00022E0B" w:rsidRDefault="00D77B0E" w:rsidP="00D73F13">
            <w:pPr>
              <w:jc w:val="center"/>
              <w:rPr>
                <w:rFonts w:ascii="Garamond" w:hAnsi="Garamond" w:cs="Calibri"/>
                <w:sz w:val="18"/>
                <w:szCs w:val="18"/>
              </w:rPr>
            </w:pPr>
            <w:r w:rsidRPr="00022E0B">
              <w:rPr>
                <w:rFonts w:ascii="Garamond" w:hAnsi="Garamond" w:cs="Calibri"/>
                <w:sz w:val="18"/>
                <w:szCs w:val="18"/>
              </w:rPr>
              <w:t>17.963,22</w:t>
            </w:r>
          </w:p>
        </w:tc>
      </w:tr>
      <w:tr w:rsidR="00D77B0E" w:rsidRPr="00022E0B" w:rsidTr="00D73F13">
        <w:trPr>
          <w:trHeight w:val="240"/>
        </w:trPr>
        <w:tc>
          <w:tcPr>
            <w:tcW w:w="2380" w:type="dxa"/>
            <w:tcBorders>
              <w:top w:val="nil"/>
              <w:left w:val="nil"/>
              <w:bottom w:val="single" w:sz="4" w:space="0" w:color="auto"/>
              <w:right w:val="nil"/>
            </w:tcBorders>
            <w:shd w:val="clear" w:color="auto" w:fill="auto"/>
            <w:noWrap/>
            <w:vAlign w:val="bottom"/>
            <w:hideMark/>
          </w:tcPr>
          <w:p w:rsidR="00D77B0E" w:rsidRPr="00022E0B" w:rsidRDefault="00D77B0E" w:rsidP="00D73F13">
            <w:pPr>
              <w:rPr>
                <w:rFonts w:ascii="Garamond" w:hAnsi="Garamond" w:cs="Calibri"/>
                <w:b/>
                <w:bCs/>
                <w:color w:val="000000"/>
                <w:sz w:val="18"/>
                <w:szCs w:val="18"/>
              </w:rPr>
            </w:pPr>
            <w:r w:rsidRPr="00022E0B">
              <w:rPr>
                <w:rFonts w:ascii="Garamond" w:hAnsi="Garamond" w:cs="Calibri"/>
                <w:b/>
                <w:bCs/>
                <w:color w:val="000000"/>
                <w:sz w:val="18"/>
                <w:szCs w:val="18"/>
              </w:rPr>
              <w:t>Italia</w:t>
            </w:r>
          </w:p>
        </w:tc>
        <w:tc>
          <w:tcPr>
            <w:tcW w:w="1260" w:type="dxa"/>
            <w:tcBorders>
              <w:top w:val="nil"/>
              <w:left w:val="nil"/>
              <w:bottom w:val="single" w:sz="4" w:space="0" w:color="auto"/>
              <w:right w:val="nil"/>
            </w:tcBorders>
          </w:tcPr>
          <w:p w:rsidR="00D77B0E" w:rsidRPr="00022E0B" w:rsidRDefault="00D77B0E" w:rsidP="00D73F13">
            <w:pPr>
              <w:jc w:val="center"/>
              <w:rPr>
                <w:rFonts w:ascii="Garamond" w:hAnsi="Garamond" w:cs="Calibri"/>
                <w:b/>
                <w:bCs/>
                <w:sz w:val="18"/>
                <w:szCs w:val="18"/>
              </w:rPr>
            </w:pPr>
            <w:r w:rsidRPr="00022E0B">
              <w:rPr>
                <w:rFonts w:ascii="Garamond" w:hAnsi="Garamond" w:cs="Calibri"/>
                <w:b/>
                <w:bCs/>
                <w:sz w:val="18"/>
                <w:szCs w:val="18"/>
              </w:rPr>
              <w:t>13.518,90</w:t>
            </w:r>
          </w:p>
        </w:tc>
        <w:tc>
          <w:tcPr>
            <w:tcW w:w="1260" w:type="dxa"/>
            <w:tcBorders>
              <w:top w:val="nil"/>
              <w:left w:val="nil"/>
              <w:bottom w:val="single" w:sz="4" w:space="0" w:color="auto"/>
              <w:right w:val="nil"/>
            </w:tcBorders>
          </w:tcPr>
          <w:p w:rsidR="00D77B0E" w:rsidRPr="00022E0B" w:rsidRDefault="00D77B0E" w:rsidP="00D73F13">
            <w:pPr>
              <w:jc w:val="center"/>
              <w:rPr>
                <w:rFonts w:ascii="Garamond" w:hAnsi="Garamond" w:cs="Calibri"/>
                <w:b/>
                <w:bCs/>
                <w:sz w:val="18"/>
                <w:szCs w:val="18"/>
              </w:rPr>
            </w:pPr>
            <w:r w:rsidRPr="00022E0B">
              <w:rPr>
                <w:rFonts w:ascii="Garamond" w:hAnsi="Garamond" w:cs="Calibri"/>
                <w:b/>
                <w:bCs/>
                <w:sz w:val="18"/>
                <w:szCs w:val="18"/>
              </w:rPr>
              <w:t>13.516,56</w:t>
            </w:r>
          </w:p>
        </w:tc>
        <w:tc>
          <w:tcPr>
            <w:tcW w:w="1260" w:type="dxa"/>
            <w:tcBorders>
              <w:top w:val="nil"/>
              <w:left w:val="nil"/>
              <w:bottom w:val="single" w:sz="4" w:space="0" w:color="auto"/>
              <w:right w:val="nil"/>
            </w:tcBorders>
          </w:tcPr>
          <w:p w:rsidR="00D77B0E" w:rsidRPr="00022E0B" w:rsidRDefault="00D77B0E" w:rsidP="00D73F13">
            <w:pPr>
              <w:jc w:val="center"/>
              <w:rPr>
                <w:rFonts w:ascii="Garamond" w:hAnsi="Garamond" w:cs="Calibri"/>
                <w:b/>
                <w:bCs/>
                <w:sz w:val="18"/>
                <w:szCs w:val="18"/>
              </w:rPr>
            </w:pPr>
            <w:r w:rsidRPr="00022E0B">
              <w:rPr>
                <w:rFonts w:ascii="Garamond" w:hAnsi="Garamond" w:cs="Calibri"/>
                <w:b/>
                <w:bCs/>
                <w:sz w:val="18"/>
                <w:szCs w:val="18"/>
              </w:rPr>
              <w:t>14.957,77</w:t>
            </w:r>
          </w:p>
        </w:tc>
      </w:tr>
    </w:tbl>
    <w:p w:rsidR="00D77B0E" w:rsidRDefault="00D77B0E" w:rsidP="00D77B0E">
      <w:pPr>
        <w:spacing w:line="360" w:lineRule="auto"/>
        <w:jc w:val="both"/>
      </w:pPr>
    </w:p>
    <w:p w:rsidR="00D77B0E" w:rsidRDefault="00D77B0E" w:rsidP="00D77B0E">
      <w:pPr>
        <w:pStyle w:val="Titolo2"/>
        <w:spacing w:before="0" w:after="240"/>
        <w:rPr>
          <w:rFonts w:ascii="Times New Roman" w:hAnsi="Times New Roman" w:cs="Times New Roman"/>
          <w:color w:val="auto"/>
          <w:sz w:val="24"/>
          <w:szCs w:val="24"/>
        </w:rPr>
      </w:pPr>
      <w:bookmarkStart w:id="24" w:name="_Toc356470420"/>
    </w:p>
    <w:p w:rsidR="00D77B0E" w:rsidRDefault="00D77B0E" w:rsidP="00D77B0E"/>
    <w:p w:rsidR="00D77B0E" w:rsidRDefault="00D77B0E" w:rsidP="00D77B0E"/>
    <w:p w:rsidR="00D77B0E" w:rsidRDefault="00D77B0E" w:rsidP="00D77B0E"/>
    <w:p w:rsidR="00D77B0E" w:rsidRDefault="00D77B0E" w:rsidP="00D77B0E"/>
    <w:p w:rsidR="00D77B0E" w:rsidRDefault="00D77B0E" w:rsidP="00D77B0E"/>
    <w:p w:rsidR="00D77B0E" w:rsidRPr="00477752" w:rsidRDefault="00D77B0E" w:rsidP="00D77B0E"/>
    <w:p w:rsidR="00D77B0E" w:rsidRPr="009D7BBB" w:rsidRDefault="00D77B0E" w:rsidP="00D77B0E">
      <w:pPr>
        <w:pStyle w:val="Titolo2"/>
        <w:spacing w:before="0" w:after="240"/>
        <w:rPr>
          <w:rFonts w:ascii="Times New Roman" w:hAnsi="Times New Roman" w:cs="Times New Roman"/>
          <w:sz w:val="24"/>
          <w:szCs w:val="24"/>
        </w:rPr>
      </w:pPr>
      <w:r w:rsidRPr="009D7BBB">
        <w:rPr>
          <w:rFonts w:ascii="Times New Roman" w:hAnsi="Times New Roman" w:cs="Times New Roman"/>
          <w:color w:val="auto"/>
          <w:sz w:val="24"/>
          <w:szCs w:val="24"/>
        </w:rPr>
        <w:lastRenderedPageBreak/>
        <w:t xml:space="preserve">I bilanci di previsione </w:t>
      </w:r>
      <w:r>
        <w:rPr>
          <w:rFonts w:ascii="Times New Roman" w:hAnsi="Times New Roman" w:cs="Times New Roman"/>
          <w:color w:val="auto"/>
          <w:sz w:val="24"/>
          <w:szCs w:val="24"/>
        </w:rPr>
        <w:t xml:space="preserve">2012 </w:t>
      </w:r>
      <w:r w:rsidRPr="009D7BBB">
        <w:rPr>
          <w:rFonts w:ascii="Times New Roman" w:hAnsi="Times New Roman" w:cs="Times New Roman"/>
          <w:color w:val="auto"/>
          <w:sz w:val="24"/>
          <w:szCs w:val="24"/>
        </w:rPr>
        <w:t xml:space="preserve">dei comuni della provincia di </w:t>
      </w:r>
      <w:r>
        <w:rPr>
          <w:rFonts w:ascii="Times New Roman" w:hAnsi="Times New Roman" w:cs="Times New Roman"/>
          <w:color w:val="auto"/>
          <w:sz w:val="24"/>
          <w:szCs w:val="24"/>
        </w:rPr>
        <w:t>Bergamo</w:t>
      </w:r>
      <w:r w:rsidRPr="009D7BBB">
        <w:rPr>
          <w:rFonts w:ascii="Times New Roman" w:hAnsi="Times New Roman" w:cs="Times New Roman"/>
          <w:color w:val="auto"/>
          <w:sz w:val="24"/>
          <w:szCs w:val="24"/>
        </w:rPr>
        <w:t>.</w:t>
      </w:r>
      <w:bookmarkEnd w:id="24"/>
      <w:r w:rsidRPr="009D7BBB">
        <w:rPr>
          <w:rFonts w:ascii="Times New Roman" w:hAnsi="Times New Roman" w:cs="Times New Roman"/>
          <w:color w:val="auto"/>
          <w:sz w:val="24"/>
          <w:szCs w:val="24"/>
        </w:rPr>
        <w:t xml:space="preserve">   </w:t>
      </w:r>
    </w:p>
    <w:p w:rsidR="00D77B0E" w:rsidRDefault="00D77B0E" w:rsidP="00D77B0E">
      <w:pPr>
        <w:spacing w:line="360" w:lineRule="auto"/>
        <w:jc w:val="both"/>
      </w:pPr>
      <w:r w:rsidRPr="00032734">
        <w:t>Spesa per il sociale paralizzata nonostante la reintroduzione dell’imposta sulla prima casa, sotto forma della nuova IMU, e lo sblocco delle aliquote dell’Addizionale Comunale all’Irpef che peseranno sulle tasche dei contribuenti circa</w:t>
      </w:r>
      <w:r>
        <w:t xml:space="preserve"> </w:t>
      </w:r>
      <w:r w:rsidRPr="00032734">
        <w:t>5</w:t>
      </w:r>
      <w:r>
        <w:t>6 euro pro capite</w:t>
      </w:r>
      <w:r w:rsidRPr="00032734">
        <w:t xml:space="preserve"> nel 2012</w:t>
      </w:r>
      <w:r>
        <w:t xml:space="preserve">, con un incremento di poco più di 7 euro rispetto all’anno precedente.  </w:t>
      </w:r>
    </w:p>
    <w:p w:rsidR="00D77B0E" w:rsidRDefault="00D77B0E" w:rsidP="00D77B0E">
      <w:pPr>
        <w:spacing w:after="240" w:line="360" w:lineRule="auto"/>
        <w:jc w:val="both"/>
      </w:pPr>
      <w:r w:rsidRPr="00032734">
        <w:t xml:space="preserve">Questo in estrema sintesi il dato che emerge dall’analisi dei bilanci di previsione </w:t>
      </w:r>
      <w:r>
        <w:t xml:space="preserve">2012 </w:t>
      </w:r>
      <w:r w:rsidRPr="00032734">
        <w:t>dei comuni del</w:t>
      </w:r>
      <w:r>
        <w:t>la bergamasca</w:t>
      </w:r>
      <w:r w:rsidRPr="00032734">
        <w:t>. Quello appena descritto, comunque, appare un fenomeno diffuso in tutta la regione e più in generale in l’Italia.</w:t>
      </w:r>
    </w:p>
    <w:p w:rsidR="00D77B0E" w:rsidRPr="00031861" w:rsidRDefault="00D77B0E" w:rsidP="00D77B0E">
      <w:pPr>
        <w:rPr>
          <w:rFonts w:asciiTheme="majorHAnsi" w:hAnsiTheme="majorHAnsi"/>
          <w:b/>
          <w:sz w:val="22"/>
          <w:szCs w:val="22"/>
        </w:rPr>
      </w:pPr>
      <w:r>
        <w:rPr>
          <w:rFonts w:ascii="Garamond" w:hAnsi="Garamond"/>
          <w:b/>
          <w:sz w:val="20"/>
          <w:szCs w:val="20"/>
        </w:rPr>
        <w:t>Lombardia - S</w:t>
      </w:r>
      <w:r w:rsidRPr="00031861">
        <w:rPr>
          <w:rFonts w:ascii="Garamond" w:hAnsi="Garamond"/>
          <w:b/>
          <w:sz w:val="20"/>
          <w:szCs w:val="20"/>
        </w:rPr>
        <w:t xml:space="preserve">tanziamenti pro-capite da Addizionale Irpef. </w:t>
      </w:r>
      <w:r>
        <w:rPr>
          <w:rFonts w:ascii="Garamond" w:hAnsi="Garamond"/>
          <w:b/>
          <w:sz w:val="20"/>
          <w:szCs w:val="20"/>
        </w:rPr>
        <w:t xml:space="preserve">Dati medi provinciali. </w:t>
      </w:r>
      <w:r w:rsidRPr="00031861">
        <w:rPr>
          <w:rFonts w:ascii="Garamond" w:hAnsi="Garamond"/>
          <w:b/>
          <w:sz w:val="20"/>
          <w:szCs w:val="20"/>
        </w:rPr>
        <w:t xml:space="preserve">Valori </w:t>
      </w:r>
      <w:r>
        <w:rPr>
          <w:rFonts w:ascii="Garamond" w:hAnsi="Garamond"/>
          <w:b/>
          <w:sz w:val="20"/>
          <w:szCs w:val="20"/>
        </w:rPr>
        <w:t>in Euro</w:t>
      </w:r>
      <w:r w:rsidRPr="00031861">
        <w:rPr>
          <w:rFonts w:ascii="Garamond" w:hAnsi="Garamond"/>
          <w:b/>
          <w:sz w:val="20"/>
          <w:szCs w:val="20"/>
        </w:rPr>
        <w:t>.</w:t>
      </w:r>
    </w:p>
    <w:tbl>
      <w:tblPr>
        <w:tblW w:w="5300" w:type="dxa"/>
        <w:tblInd w:w="55" w:type="dxa"/>
        <w:tblCellMar>
          <w:left w:w="70" w:type="dxa"/>
          <w:right w:w="70" w:type="dxa"/>
        </w:tblCellMar>
        <w:tblLook w:val="04A0"/>
      </w:tblPr>
      <w:tblGrid>
        <w:gridCol w:w="2020"/>
        <w:gridCol w:w="820"/>
        <w:gridCol w:w="820"/>
        <w:gridCol w:w="820"/>
        <w:gridCol w:w="820"/>
      </w:tblGrid>
      <w:tr w:rsidR="00D77B0E" w:rsidRPr="00A66CEE"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rPr>
                <w:rFonts w:ascii="Garamond" w:hAnsi="Garamond" w:cs="Calibri"/>
                <w:color w:val="000000"/>
                <w:sz w:val="18"/>
                <w:szCs w:val="18"/>
              </w:rPr>
            </w:pPr>
            <w:r w:rsidRPr="00A66CEE">
              <w:rPr>
                <w:rFonts w:ascii="Garamond" w:hAnsi="Garamond" w:cs="Calibri"/>
                <w:color w:val="000000"/>
                <w:sz w:val="18"/>
                <w:szCs w:val="18"/>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8"/>
                <w:szCs w:val="18"/>
              </w:rPr>
            </w:pPr>
            <w:r w:rsidRPr="00A66CEE">
              <w:rPr>
                <w:rFonts w:ascii="Garamond" w:hAnsi="Garamond" w:cs="Calibri"/>
                <w:b/>
                <w:bCs/>
                <w:color w:val="000000"/>
                <w:sz w:val="18"/>
                <w:szCs w:val="18"/>
              </w:rPr>
              <w:t>2009</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8"/>
                <w:szCs w:val="18"/>
              </w:rPr>
            </w:pPr>
            <w:r w:rsidRPr="00A66CEE">
              <w:rPr>
                <w:rFonts w:ascii="Garamond" w:hAnsi="Garamond" w:cs="Calibri"/>
                <w:b/>
                <w:bCs/>
                <w:color w:val="000000"/>
                <w:sz w:val="18"/>
                <w:szCs w:val="18"/>
              </w:rPr>
              <w:t>2010</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8"/>
                <w:szCs w:val="18"/>
              </w:rPr>
            </w:pPr>
            <w:r w:rsidRPr="00A66CEE">
              <w:rPr>
                <w:rFonts w:ascii="Garamond" w:hAnsi="Garamond" w:cs="Calibri"/>
                <w:b/>
                <w:bCs/>
                <w:color w:val="000000"/>
                <w:sz w:val="18"/>
                <w:szCs w:val="18"/>
              </w:rPr>
              <w:t>2011</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8"/>
                <w:szCs w:val="18"/>
              </w:rPr>
            </w:pPr>
            <w:r w:rsidRPr="00A66CEE">
              <w:rPr>
                <w:rFonts w:ascii="Garamond" w:hAnsi="Garamond" w:cs="Calibri"/>
                <w:b/>
                <w:bCs/>
                <w:color w:val="000000"/>
                <w:sz w:val="18"/>
                <w:szCs w:val="18"/>
              </w:rPr>
              <w:t>2012</w:t>
            </w:r>
          </w:p>
        </w:tc>
      </w:tr>
      <w:tr w:rsidR="00D77B0E" w:rsidRPr="009776CE" w:rsidTr="00D73F13">
        <w:trPr>
          <w:trHeight w:val="240"/>
        </w:trPr>
        <w:tc>
          <w:tcPr>
            <w:tcW w:w="2020" w:type="dxa"/>
            <w:tcBorders>
              <w:top w:val="nil"/>
              <w:left w:val="nil"/>
              <w:bottom w:val="nil"/>
              <w:right w:val="nil"/>
            </w:tcBorders>
            <w:shd w:val="clear" w:color="auto" w:fill="auto"/>
            <w:noWrap/>
            <w:vAlign w:val="bottom"/>
            <w:hideMark/>
          </w:tcPr>
          <w:p w:rsidR="00D77B0E" w:rsidRPr="009776CE" w:rsidRDefault="00D77B0E" w:rsidP="00D73F13">
            <w:pPr>
              <w:rPr>
                <w:rFonts w:ascii="Garamond" w:hAnsi="Garamond" w:cs="Calibri"/>
                <w:b/>
                <w:color w:val="000000"/>
                <w:sz w:val="18"/>
                <w:szCs w:val="18"/>
              </w:rPr>
            </w:pPr>
            <w:r w:rsidRPr="009776CE">
              <w:rPr>
                <w:rFonts w:ascii="Garamond" w:hAnsi="Garamond" w:cs="Calibri"/>
                <w:b/>
                <w:color w:val="000000"/>
                <w:sz w:val="18"/>
                <w:szCs w:val="18"/>
              </w:rPr>
              <w:t>Bergamo</w:t>
            </w:r>
          </w:p>
        </w:tc>
        <w:tc>
          <w:tcPr>
            <w:tcW w:w="82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45,5</w:t>
            </w:r>
          </w:p>
        </w:tc>
        <w:tc>
          <w:tcPr>
            <w:tcW w:w="82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45,7</w:t>
            </w:r>
          </w:p>
        </w:tc>
        <w:tc>
          <w:tcPr>
            <w:tcW w:w="82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48,1</w:t>
            </w:r>
          </w:p>
        </w:tc>
        <w:tc>
          <w:tcPr>
            <w:tcW w:w="82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55,5</w:t>
            </w:r>
          </w:p>
        </w:tc>
      </w:tr>
      <w:tr w:rsidR="00D77B0E" w:rsidRPr="00A66CEE" w:rsidTr="00D73F13">
        <w:trPr>
          <w:trHeight w:val="240"/>
        </w:trPr>
        <w:tc>
          <w:tcPr>
            <w:tcW w:w="2020" w:type="dxa"/>
            <w:tcBorders>
              <w:top w:val="nil"/>
              <w:left w:val="nil"/>
              <w:bottom w:val="nil"/>
              <w:right w:val="nil"/>
            </w:tcBorders>
            <w:shd w:val="clear" w:color="auto" w:fill="auto"/>
            <w:noWrap/>
            <w:vAlign w:val="bottom"/>
            <w:hideMark/>
          </w:tcPr>
          <w:p w:rsidR="00D77B0E" w:rsidRPr="00A66CEE" w:rsidRDefault="00D77B0E" w:rsidP="00D73F13">
            <w:pPr>
              <w:rPr>
                <w:rFonts w:ascii="Garamond" w:hAnsi="Garamond" w:cs="Calibri"/>
                <w:color w:val="000000"/>
                <w:sz w:val="18"/>
                <w:szCs w:val="18"/>
              </w:rPr>
            </w:pPr>
            <w:r w:rsidRPr="00A66CEE">
              <w:rPr>
                <w:rFonts w:ascii="Garamond" w:hAnsi="Garamond" w:cs="Calibri"/>
                <w:color w:val="000000"/>
                <w:sz w:val="18"/>
                <w:szCs w:val="18"/>
              </w:rPr>
              <w:t>Brescia</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21,6</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21,5</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22,7</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42,4</w:t>
            </w:r>
          </w:p>
        </w:tc>
      </w:tr>
      <w:tr w:rsidR="00D77B0E" w:rsidRPr="00A66CEE" w:rsidTr="00D73F13">
        <w:trPr>
          <w:trHeight w:val="240"/>
        </w:trPr>
        <w:tc>
          <w:tcPr>
            <w:tcW w:w="2020" w:type="dxa"/>
            <w:tcBorders>
              <w:top w:val="nil"/>
              <w:left w:val="nil"/>
              <w:bottom w:val="nil"/>
              <w:right w:val="nil"/>
            </w:tcBorders>
            <w:shd w:val="clear" w:color="auto" w:fill="auto"/>
            <w:noWrap/>
            <w:vAlign w:val="bottom"/>
            <w:hideMark/>
          </w:tcPr>
          <w:p w:rsidR="00D77B0E" w:rsidRPr="00A66CEE" w:rsidRDefault="00D77B0E" w:rsidP="00D73F13">
            <w:pPr>
              <w:rPr>
                <w:rFonts w:ascii="Garamond" w:hAnsi="Garamond" w:cs="Calibri"/>
                <w:color w:val="000000"/>
                <w:sz w:val="18"/>
                <w:szCs w:val="18"/>
              </w:rPr>
            </w:pPr>
            <w:r w:rsidRPr="00A66CEE">
              <w:rPr>
                <w:rFonts w:ascii="Garamond" w:hAnsi="Garamond" w:cs="Calibri"/>
                <w:color w:val="000000"/>
                <w:sz w:val="18"/>
                <w:szCs w:val="18"/>
              </w:rPr>
              <w:t>Como</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32,7</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32,9</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34,9</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54,5</w:t>
            </w:r>
          </w:p>
        </w:tc>
      </w:tr>
      <w:tr w:rsidR="00D77B0E" w:rsidRPr="00A66CEE" w:rsidTr="00D73F13">
        <w:trPr>
          <w:trHeight w:val="240"/>
        </w:trPr>
        <w:tc>
          <w:tcPr>
            <w:tcW w:w="2020" w:type="dxa"/>
            <w:tcBorders>
              <w:top w:val="nil"/>
              <w:left w:val="nil"/>
              <w:right w:val="nil"/>
            </w:tcBorders>
            <w:shd w:val="clear" w:color="auto" w:fill="auto"/>
            <w:noWrap/>
            <w:vAlign w:val="bottom"/>
            <w:hideMark/>
          </w:tcPr>
          <w:p w:rsidR="00D77B0E" w:rsidRPr="00A66CEE" w:rsidRDefault="00D77B0E" w:rsidP="00D73F13">
            <w:pPr>
              <w:rPr>
                <w:rFonts w:ascii="Garamond" w:hAnsi="Garamond" w:cs="Calibri"/>
                <w:color w:val="000000"/>
                <w:sz w:val="18"/>
                <w:szCs w:val="18"/>
              </w:rPr>
            </w:pPr>
            <w:r w:rsidRPr="00A66CEE">
              <w:rPr>
                <w:rFonts w:ascii="Garamond" w:hAnsi="Garamond" w:cs="Calibri"/>
                <w:color w:val="000000"/>
                <w:sz w:val="18"/>
                <w:szCs w:val="18"/>
              </w:rPr>
              <w:t>Cremona</w:t>
            </w:r>
          </w:p>
        </w:tc>
        <w:tc>
          <w:tcPr>
            <w:tcW w:w="820" w:type="dxa"/>
            <w:tcBorders>
              <w:top w:val="nil"/>
              <w:left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37,5</w:t>
            </w:r>
          </w:p>
        </w:tc>
        <w:tc>
          <w:tcPr>
            <w:tcW w:w="820" w:type="dxa"/>
            <w:tcBorders>
              <w:top w:val="nil"/>
              <w:left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37,8</w:t>
            </w:r>
          </w:p>
        </w:tc>
        <w:tc>
          <w:tcPr>
            <w:tcW w:w="820" w:type="dxa"/>
            <w:tcBorders>
              <w:top w:val="nil"/>
              <w:left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46,3</w:t>
            </w:r>
          </w:p>
        </w:tc>
        <w:tc>
          <w:tcPr>
            <w:tcW w:w="820" w:type="dxa"/>
            <w:tcBorders>
              <w:top w:val="nil"/>
              <w:left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60,5</w:t>
            </w:r>
          </w:p>
        </w:tc>
      </w:tr>
      <w:tr w:rsidR="00D77B0E" w:rsidRPr="009776CE" w:rsidTr="00D73F13">
        <w:trPr>
          <w:trHeight w:val="240"/>
        </w:trPr>
        <w:tc>
          <w:tcPr>
            <w:tcW w:w="2020" w:type="dxa"/>
            <w:tcBorders>
              <w:left w:val="nil"/>
              <w:right w:val="nil"/>
            </w:tcBorders>
            <w:shd w:val="clear" w:color="auto" w:fill="auto"/>
            <w:noWrap/>
            <w:vAlign w:val="bottom"/>
            <w:hideMark/>
          </w:tcPr>
          <w:p w:rsidR="00D77B0E" w:rsidRPr="009776CE" w:rsidRDefault="00D77B0E" w:rsidP="00D73F13">
            <w:pPr>
              <w:rPr>
                <w:rFonts w:ascii="Garamond" w:hAnsi="Garamond" w:cs="Calibri"/>
                <w:color w:val="000000"/>
                <w:sz w:val="18"/>
                <w:szCs w:val="18"/>
              </w:rPr>
            </w:pPr>
            <w:r w:rsidRPr="009776CE">
              <w:rPr>
                <w:rFonts w:ascii="Garamond" w:hAnsi="Garamond" w:cs="Calibri"/>
                <w:color w:val="000000"/>
                <w:sz w:val="18"/>
                <w:szCs w:val="18"/>
              </w:rPr>
              <w:t>Lecco</w:t>
            </w:r>
          </w:p>
        </w:tc>
        <w:tc>
          <w:tcPr>
            <w:tcW w:w="82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40,9</w:t>
            </w:r>
          </w:p>
        </w:tc>
        <w:tc>
          <w:tcPr>
            <w:tcW w:w="82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41,0</w:t>
            </w:r>
          </w:p>
        </w:tc>
        <w:tc>
          <w:tcPr>
            <w:tcW w:w="82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43,2</w:t>
            </w:r>
          </w:p>
        </w:tc>
        <w:tc>
          <w:tcPr>
            <w:tcW w:w="82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51,7</w:t>
            </w:r>
          </w:p>
        </w:tc>
      </w:tr>
      <w:tr w:rsidR="00D77B0E" w:rsidRPr="00A66CEE" w:rsidTr="00D73F13">
        <w:trPr>
          <w:trHeight w:val="240"/>
        </w:trPr>
        <w:tc>
          <w:tcPr>
            <w:tcW w:w="2020" w:type="dxa"/>
            <w:tcBorders>
              <w:left w:val="nil"/>
              <w:right w:val="nil"/>
            </w:tcBorders>
            <w:shd w:val="clear" w:color="auto" w:fill="auto"/>
            <w:noWrap/>
            <w:vAlign w:val="bottom"/>
            <w:hideMark/>
          </w:tcPr>
          <w:p w:rsidR="00D77B0E" w:rsidRPr="00A66CEE" w:rsidRDefault="00D77B0E" w:rsidP="00D73F13">
            <w:pPr>
              <w:rPr>
                <w:rFonts w:ascii="Garamond" w:hAnsi="Garamond" w:cs="Calibri"/>
                <w:color w:val="000000"/>
                <w:sz w:val="18"/>
                <w:szCs w:val="18"/>
              </w:rPr>
            </w:pPr>
            <w:r w:rsidRPr="00A66CEE">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43,9</w:t>
            </w:r>
          </w:p>
        </w:tc>
        <w:tc>
          <w:tcPr>
            <w:tcW w:w="820" w:type="dxa"/>
            <w:tcBorders>
              <w:left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43,9</w:t>
            </w:r>
          </w:p>
        </w:tc>
        <w:tc>
          <w:tcPr>
            <w:tcW w:w="820" w:type="dxa"/>
            <w:tcBorders>
              <w:left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44,9</w:t>
            </w:r>
          </w:p>
        </w:tc>
        <w:tc>
          <w:tcPr>
            <w:tcW w:w="820" w:type="dxa"/>
            <w:tcBorders>
              <w:left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62,7</w:t>
            </w:r>
          </w:p>
        </w:tc>
      </w:tr>
      <w:tr w:rsidR="00D77B0E" w:rsidRPr="007B1B13" w:rsidTr="00D73F13">
        <w:trPr>
          <w:trHeight w:val="240"/>
        </w:trPr>
        <w:tc>
          <w:tcPr>
            <w:tcW w:w="2020" w:type="dxa"/>
            <w:tcBorders>
              <w:left w:val="nil"/>
              <w:right w:val="nil"/>
            </w:tcBorders>
            <w:shd w:val="clear" w:color="auto" w:fill="auto"/>
            <w:noWrap/>
            <w:vAlign w:val="bottom"/>
            <w:hideMark/>
          </w:tcPr>
          <w:p w:rsidR="00D77B0E" w:rsidRPr="007B1B13" w:rsidRDefault="00D77B0E" w:rsidP="00D73F13">
            <w:pPr>
              <w:rPr>
                <w:rFonts w:ascii="Garamond" w:hAnsi="Garamond" w:cs="Calibri"/>
                <w:bCs/>
                <w:color w:val="000000"/>
                <w:sz w:val="18"/>
                <w:szCs w:val="18"/>
              </w:rPr>
            </w:pPr>
            <w:r w:rsidRPr="007B1B13">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48,3</w:t>
            </w:r>
          </w:p>
        </w:tc>
        <w:tc>
          <w:tcPr>
            <w:tcW w:w="82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47,2</w:t>
            </w:r>
          </w:p>
        </w:tc>
        <w:tc>
          <w:tcPr>
            <w:tcW w:w="82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48,7</w:t>
            </w:r>
          </w:p>
        </w:tc>
        <w:tc>
          <w:tcPr>
            <w:tcW w:w="82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57,7</w:t>
            </w:r>
          </w:p>
        </w:tc>
      </w:tr>
      <w:tr w:rsidR="00D77B0E" w:rsidRPr="007B1B13" w:rsidTr="00D73F13">
        <w:trPr>
          <w:trHeight w:val="240"/>
        </w:trPr>
        <w:tc>
          <w:tcPr>
            <w:tcW w:w="2020" w:type="dxa"/>
            <w:tcBorders>
              <w:top w:val="nil"/>
              <w:left w:val="nil"/>
              <w:bottom w:val="nil"/>
              <w:right w:val="nil"/>
            </w:tcBorders>
            <w:shd w:val="clear" w:color="auto" w:fill="auto"/>
            <w:noWrap/>
            <w:vAlign w:val="bottom"/>
            <w:hideMark/>
          </w:tcPr>
          <w:p w:rsidR="00D77B0E" w:rsidRPr="007B1B13" w:rsidRDefault="00D77B0E" w:rsidP="00D73F13">
            <w:pPr>
              <w:rPr>
                <w:rFonts w:ascii="Garamond" w:hAnsi="Garamond" w:cs="Calibri"/>
                <w:color w:val="000000"/>
                <w:sz w:val="18"/>
                <w:szCs w:val="18"/>
              </w:rPr>
            </w:pPr>
            <w:r w:rsidRPr="007B1B13">
              <w:rPr>
                <w:rFonts w:ascii="Garamond" w:hAnsi="Garamond" w:cs="Calibri"/>
                <w:color w:val="000000"/>
                <w:sz w:val="18"/>
                <w:szCs w:val="18"/>
              </w:rPr>
              <w:t>Milano</w:t>
            </w:r>
          </w:p>
        </w:tc>
        <w:tc>
          <w:tcPr>
            <w:tcW w:w="820" w:type="dxa"/>
            <w:tcBorders>
              <w:top w:val="nil"/>
              <w:left w:val="nil"/>
              <w:bottom w:val="nil"/>
              <w:right w:val="nil"/>
            </w:tcBorders>
            <w:shd w:val="clear" w:color="auto" w:fill="auto"/>
            <w:noWrap/>
            <w:vAlign w:val="bottom"/>
            <w:hideMark/>
          </w:tcPr>
          <w:p w:rsidR="00D77B0E" w:rsidRPr="007B1B13" w:rsidRDefault="00D77B0E" w:rsidP="00D73F13">
            <w:pPr>
              <w:jc w:val="center"/>
              <w:rPr>
                <w:rFonts w:ascii="Garamond" w:hAnsi="Garamond" w:cs="Calibri"/>
                <w:color w:val="000000"/>
                <w:sz w:val="18"/>
                <w:szCs w:val="18"/>
              </w:rPr>
            </w:pPr>
            <w:r w:rsidRPr="007B1B13">
              <w:rPr>
                <w:rFonts w:ascii="Garamond" w:hAnsi="Garamond" w:cs="Calibri"/>
                <w:color w:val="000000"/>
                <w:sz w:val="18"/>
                <w:szCs w:val="18"/>
              </w:rPr>
              <w:t>34,3</w:t>
            </w:r>
          </w:p>
        </w:tc>
        <w:tc>
          <w:tcPr>
            <w:tcW w:w="820" w:type="dxa"/>
            <w:tcBorders>
              <w:top w:val="nil"/>
              <w:left w:val="nil"/>
              <w:bottom w:val="nil"/>
              <w:right w:val="nil"/>
            </w:tcBorders>
            <w:shd w:val="clear" w:color="auto" w:fill="auto"/>
            <w:noWrap/>
            <w:vAlign w:val="bottom"/>
            <w:hideMark/>
          </w:tcPr>
          <w:p w:rsidR="00D77B0E" w:rsidRPr="007B1B13" w:rsidRDefault="00D77B0E" w:rsidP="00D73F13">
            <w:pPr>
              <w:jc w:val="center"/>
              <w:rPr>
                <w:rFonts w:ascii="Garamond" w:hAnsi="Garamond" w:cs="Calibri"/>
                <w:color w:val="000000"/>
                <w:sz w:val="18"/>
                <w:szCs w:val="18"/>
              </w:rPr>
            </w:pPr>
            <w:r w:rsidRPr="007B1B13">
              <w:rPr>
                <w:rFonts w:ascii="Garamond" w:hAnsi="Garamond" w:cs="Calibri"/>
                <w:color w:val="000000"/>
                <w:sz w:val="18"/>
                <w:szCs w:val="18"/>
              </w:rPr>
              <w:t>35,0</w:t>
            </w:r>
          </w:p>
        </w:tc>
        <w:tc>
          <w:tcPr>
            <w:tcW w:w="820" w:type="dxa"/>
            <w:tcBorders>
              <w:top w:val="nil"/>
              <w:left w:val="nil"/>
              <w:bottom w:val="nil"/>
              <w:right w:val="nil"/>
            </w:tcBorders>
            <w:shd w:val="clear" w:color="auto" w:fill="auto"/>
            <w:noWrap/>
            <w:vAlign w:val="bottom"/>
            <w:hideMark/>
          </w:tcPr>
          <w:p w:rsidR="00D77B0E" w:rsidRPr="007B1B13" w:rsidRDefault="00D77B0E" w:rsidP="00D73F13">
            <w:pPr>
              <w:jc w:val="center"/>
              <w:rPr>
                <w:rFonts w:ascii="Garamond" w:hAnsi="Garamond" w:cs="Calibri"/>
                <w:color w:val="000000"/>
                <w:sz w:val="18"/>
                <w:szCs w:val="18"/>
              </w:rPr>
            </w:pPr>
            <w:r w:rsidRPr="007B1B13">
              <w:rPr>
                <w:rFonts w:ascii="Garamond" w:hAnsi="Garamond" w:cs="Calibri"/>
                <w:color w:val="000000"/>
                <w:sz w:val="18"/>
                <w:szCs w:val="18"/>
              </w:rPr>
              <w:t>36,4</w:t>
            </w:r>
          </w:p>
        </w:tc>
        <w:tc>
          <w:tcPr>
            <w:tcW w:w="820" w:type="dxa"/>
            <w:tcBorders>
              <w:top w:val="nil"/>
              <w:left w:val="nil"/>
              <w:bottom w:val="nil"/>
              <w:right w:val="nil"/>
            </w:tcBorders>
            <w:shd w:val="clear" w:color="auto" w:fill="auto"/>
            <w:noWrap/>
            <w:vAlign w:val="bottom"/>
            <w:hideMark/>
          </w:tcPr>
          <w:p w:rsidR="00D77B0E" w:rsidRPr="007B1B13" w:rsidRDefault="00D77B0E" w:rsidP="00D73F13">
            <w:pPr>
              <w:jc w:val="center"/>
              <w:rPr>
                <w:rFonts w:ascii="Garamond" w:hAnsi="Garamond" w:cs="Calibri"/>
                <w:color w:val="000000"/>
                <w:sz w:val="18"/>
                <w:szCs w:val="18"/>
              </w:rPr>
            </w:pPr>
            <w:r w:rsidRPr="007B1B13">
              <w:rPr>
                <w:rFonts w:ascii="Garamond" w:hAnsi="Garamond" w:cs="Calibri"/>
                <w:color w:val="000000"/>
                <w:sz w:val="18"/>
                <w:szCs w:val="18"/>
              </w:rPr>
              <w:t>69,8</w:t>
            </w:r>
          </w:p>
        </w:tc>
      </w:tr>
      <w:tr w:rsidR="00D77B0E" w:rsidRPr="00A66CEE" w:rsidTr="00D73F13">
        <w:trPr>
          <w:trHeight w:val="240"/>
        </w:trPr>
        <w:tc>
          <w:tcPr>
            <w:tcW w:w="2020" w:type="dxa"/>
            <w:tcBorders>
              <w:top w:val="nil"/>
              <w:left w:val="nil"/>
              <w:bottom w:val="nil"/>
              <w:right w:val="nil"/>
            </w:tcBorders>
            <w:shd w:val="clear" w:color="auto" w:fill="auto"/>
            <w:noWrap/>
            <w:vAlign w:val="bottom"/>
            <w:hideMark/>
          </w:tcPr>
          <w:p w:rsidR="00D77B0E" w:rsidRPr="00A66CEE" w:rsidRDefault="00D77B0E" w:rsidP="00D73F13">
            <w:pPr>
              <w:rPr>
                <w:rFonts w:ascii="Garamond" w:hAnsi="Garamond" w:cs="Calibri"/>
                <w:color w:val="000000"/>
                <w:sz w:val="18"/>
                <w:szCs w:val="18"/>
              </w:rPr>
            </w:pPr>
            <w:r w:rsidRPr="00A66CEE">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59,8</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59,4</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62,6</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72,8</w:t>
            </w:r>
          </w:p>
        </w:tc>
      </w:tr>
      <w:tr w:rsidR="00D77B0E" w:rsidRPr="00A66CEE" w:rsidTr="00D73F13">
        <w:trPr>
          <w:trHeight w:val="240"/>
        </w:trPr>
        <w:tc>
          <w:tcPr>
            <w:tcW w:w="2020" w:type="dxa"/>
            <w:tcBorders>
              <w:top w:val="nil"/>
              <w:left w:val="nil"/>
              <w:bottom w:val="nil"/>
              <w:right w:val="nil"/>
            </w:tcBorders>
            <w:shd w:val="clear" w:color="auto" w:fill="auto"/>
            <w:noWrap/>
            <w:vAlign w:val="bottom"/>
            <w:hideMark/>
          </w:tcPr>
          <w:p w:rsidR="00D77B0E" w:rsidRPr="00A66CEE" w:rsidRDefault="00D77B0E" w:rsidP="00D73F13">
            <w:pPr>
              <w:rPr>
                <w:rFonts w:ascii="Garamond" w:hAnsi="Garamond" w:cs="Calibri"/>
                <w:color w:val="000000"/>
                <w:sz w:val="18"/>
                <w:szCs w:val="18"/>
              </w:rPr>
            </w:pPr>
            <w:r w:rsidRPr="00A66CEE">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53,2</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53,0</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55,7</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70,3</w:t>
            </w:r>
          </w:p>
        </w:tc>
      </w:tr>
      <w:tr w:rsidR="00D77B0E" w:rsidRPr="00A66CEE" w:rsidTr="00D73F13">
        <w:trPr>
          <w:trHeight w:val="240"/>
        </w:trPr>
        <w:tc>
          <w:tcPr>
            <w:tcW w:w="2020" w:type="dxa"/>
            <w:tcBorders>
              <w:top w:val="nil"/>
              <w:left w:val="nil"/>
              <w:bottom w:val="nil"/>
              <w:right w:val="nil"/>
            </w:tcBorders>
            <w:shd w:val="clear" w:color="auto" w:fill="auto"/>
            <w:noWrap/>
            <w:vAlign w:val="bottom"/>
            <w:hideMark/>
          </w:tcPr>
          <w:p w:rsidR="00D77B0E" w:rsidRPr="00A66CEE" w:rsidRDefault="00D77B0E" w:rsidP="00D73F13">
            <w:pPr>
              <w:rPr>
                <w:rFonts w:ascii="Garamond" w:hAnsi="Garamond" w:cs="Calibri"/>
                <w:color w:val="000000"/>
                <w:sz w:val="18"/>
                <w:szCs w:val="18"/>
              </w:rPr>
            </w:pPr>
            <w:r w:rsidRPr="00A66CEE">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44,4</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45,5</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47,4</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49,5</w:t>
            </w:r>
          </w:p>
        </w:tc>
      </w:tr>
      <w:tr w:rsidR="00D77B0E" w:rsidRPr="00A66CEE" w:rsidTr="00D73F13">
        <w:trPr>
          <w:trHeight w:val="240"/>
        </w:trPr>
        <w:tc>
          <w:tcPr>
            <w:tcW w:w="2020" w:type="dxa"/>
            <w:tcBorders>
              <w:top w:val="nil"/>
              <w:left w:val="nil"/>
              <w:bottom w:val="nil"/>
              <w:right w:val="nil"/>
            </w:tcBorders>
            <w:shd w:val="clear" w:color="auto" w:fill="auto"/>
            <w:noWrap/>
            <w:vAlign w:val="bottom"/>
            <w:hideMark/>
          </w:tcPr>
          <w:p w:rsidR="00D77B0E" w:rsidRPr="00A66CEE" w:rsidRDefault="00D77B0E" w:rsidP="00D73F13">
            <w:pPr>
              <w:rPr>
                <w:rFonts w:ascii="Garamond" w:hAnsi="Garamond" w:cs="Calibri"/>
                <w:color w:val="000000"/>
                <w:sz w:val="18"/>
                <w:szCs w:val="18"/>
              </w:rPr>
            </w:pPr>
            <w:r w:rsidRPr="00A66CEE">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54,7</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58,5</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59,8</w:t>
            </w:r>
          </w:p>
        </w:tc>
        <w:tc>
          <w:tcPr>
            <w:tcW w:w="820" w:type="dxa"/>
            <w:tcBorders>
              <w:top w:val="nil"/>
              <w:left w:val="nil"/>
              <w:bottom w:val="nil"/>
              <w:right w:val="nil"/>
            </w:tcBorders>
            <w:shd w:val="clear" w:color="auto" w:fill="auto"/>
            <w:noWrap/>
            <w:vAlign w:val="bottom"/>
            <w:hideMark/>
          </w:tcPr>
          <w:p w:rsidR="00D77B0E" w:rsidRPr="00A66CEE" w:rsidRDefault="00D77B0E" w:rsidP="00D73F13">
            <w:pPr>
              <w:jc w:val="center"/>
              <w:rPr>
                <w:rFonts w:ascii="Garamond" w:hAnsi="Garamond" w:cs="Calibri"/>
                <w:color w:val="000000"/>
                <w:sz w:val="18"/>
                <w:szCs w:val="18"/>
              </w:rPr>
            </w:pPr>
            <w:r w:rsidRPr="00A66CEE">
              <w:rPr>
                <w:rFonts w:ascii="Garamond" w:hAnsi="Garamond" w:cs="Calibri"/>
                <w:color w:val="000000"/>
                <w:sz w:val="18"/>
                <w:szCs w:val="18"/>
              </w:rPr>
              <w:t>74,0</w:t>
            </w:r>
          </w:p>
        </w:tc>
      </w:tr>
      <w:tr w:rsidR="00D77B0E" w:rsidRPr="00A66CEE" w:rsidTr="00D73F13">
        <w:trPr>
          <w:trHeight w:val="165"/>
        </w:trPr>
        <w:tc>
          <w:tcPr>
            <w:tcW w:w="20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rPr>
                <w:rFonts w:ascii="Garamond" w:hAnsi="Garamond" w:cs="Calibri"/>
                <w:color w:val="000000"/>
                <w:sz w:val="10"/>
                <w:szCs w:val="10"/>
              </w:rPr>
            </w:pPr>
            <w:r w:rsidRPr="00A66CEE">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0"/>
                <w:szCs w:val="10"/>
              </w:rPr>
            </w:pPr>
            <w:r w:rsidRPr="00A66CEE">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0"/>
                <w:szCs w:val="10"/>
              </w:rPr>
            </w:pPr>
            <w:r w:rsidRPr="00A66CEE">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0"/>
                <w:szCs w:val="10"/>
              </w:rPr>
            </w:pPr>
            <w:r w:rsidRPr="00A66CEE">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0"/>
                <w:szCs w:val="10"/>
              </w:rPr>
            </w:pPr>
            <w:r w:rsidRPr="00A66CEE">
              <w:rPr>
                <w:rFonts w:ascii="Garamond" w:hAnsi="Garamond" w:cs="Calibri"/>
                <w:b/>
                <w:bCs/>
                <w:color w:val="000000"/>
                <w:sz w:val="10"/>
                <w:szCs w:val="10"/>
              </w:rPr>
              <w:t> </w:t>
            </w:r>
          </w:p>
        </w:tc>
      </w:tr>
      <w:tr w:rsidR="00D77B0E" w:rsidRPr="00A66CEE" w:rsidTr="00D73F13">
        <w:trPr>
          <w:trHeight w:val="240"/>
        </w:trPr>
        <w:tc>
          <w:tcPr>
            <w:tcW w:w="2020" w:type="dxa"/>
            <w:tcBorders>
              <w:top w:val="nil"/>
              <w:left w:val="nil"/>
              <w:bottom w:val="single" w:sz="4" w:space="0" w:color="auto"/>
              <w:right w:val="nil"/>
            </w:tcBorders>
            <w:shd w:val="clear" w:color="auto" w:fill="auto"/>
            <w:noWrap/>
            <w:vAlign w:val="bottom"/>
            <w:hideMark/>
          </w:tcPr>
          <w:p w:rsidR="00D77B0E" w:rsidRPr="00A66CEE" w:rsidRDefault="00D77B0E" w:rsidP="00D73F13">
            <w:pPr>
              <w:rPr>
                <w:rFonts w:ascii="Garamond" w:hAnsi="Garamond" w:cs="Calibri"/>
                <w:b/>
                <w:bCs/>
                <w:color w:val="000000"/>
                <w:sz w:val="18"/>
                <w:szCs w:val="18"/>
              </w:rPr>
            </w:pPr>
            <w:r w:rsidRPr="00A66CEE">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8"/>
                <w:szCs w:val="18"/>
              </w:rPr>
            </w:pPr>
            <w:r w:rsidRPr="00A66CEE">
              <w:rPr>
                <w:rFonts w:ascii="Garamond" w:hAnsi="Garamond" w:cs="Calibri"/>
                <w:b/>
                <w:bCs/>
                <w:color w:val="000000"/>
                <w:sz w:val="18"/>
                <w:szCs w:val="18"/>
              </w:rPr>
              <w:t>40,0</w:t>
            </w:r>
          </w:p>
        </w:tc>
        <w:tc>
          <w:tcPr>
            <w:tcW w:w="820" w:type="dxa"/>
            <w:tcBorders>
              <w:top w:val="nil"/>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8"/>
                <w:szCs w:val="18"/>
              </w:rPr>
            </w:pPr>
            <w:r w:rsidRPr="00A66CEE">
              <w:rPr>
                <w:rFonts w:ascii="Garamond" w:hAnsi="Garamond" w:cs="Calibri"/>
                <w:b/>
                <w:bCs/>
                <w:color w:val="000000"/>
                <w:sz w:val="18"/>
                <w:szCs w:val="18"/>
              </w:rPr>
              <w:t>40,6</w:t>
            </w:r>
          </w:p>
        </w:tc>
        <w:tc>
          <w:tcPr>
            <w:tcW w:w="820" w:type="dxa"/>
            <w:tcBorders>
              <w:top w:val="nil"/>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8"/>
                <w:szCs w:val="18"/>
              </w:rPr>
            </w:pPr>
            <w:r w:rsidRPr="00A66CEE">
              <w:rPr>
                <w:rFonts w:ascii="Garamond" w:hAnsi="Garamond" w:cs="Calibri"/>
                <w:b/>
                <w:bCs/>
                <w:color w:val="000000"/>
                <w:sz w:val="18"/>
                <w:szCs w:val="18"/>
              </w:rPr>
              <w:t>42,6</w:t>
            </w:r>
          </w:p>
        </w:tc>
        <w:tc>
          <w:tcPr>
            <w:tcW w:w="820" w:type="dxa"/>
            <w:tcBorders>
              <w:top w:val="nil"/>
              <w:left w:val="nil"/>
              <w:bottom w:val="single" w:sz="4" w:space="0" w:color="auto"/>
              <w:right w:val="nil"/>
            </w:tcBorders>
            <w:shd w:val="clear" w:color="auto" w:fill="auto"/>
            <w:noWrap/>
            <w:vAlign w:val="bottom"/>
            <w:hideMark/>
          </w:tcPr>
          <w:p w:rsidR="00D77B0E" w:rsidRPr="00A66CEE" w:rsidRDefault="00D77B0E" w:rsidP="00D73F13">
            <w:pPr>
              <w:jc w:val="center"/>
              <w:rPr>
                <w:rFonts w:ascii="Garamond" w:hAnsi="Garamond" w:cs="Calibri"/>
                <w:b/>
                <w:bCs/>
                <w:color w:val="000000"/>
                <w:sz w:val="18"/>
                <w:szCs w:val="18"/>
              </w:rPr>
            </w:pPr>
            <w:r w:rsidRPr="00A66CEE">
              <w:rPr>
                <w:rFonts w:ascii="Garamond" w:hAnsi="Garamond" w:cs="Calibri"/>
                <w:b/>
                <w:bCs/>
                <w:color w:val="000000"/>
                <w:sz w:val="18"/>
                <w:szCs w:val="18"/>
              </w:rPr>
              <w:t>62,4</w:t>
            </w:r>
          </w:p>
        </w:tc>
      </w:tr>
    </w:tbl>
    <w:p w:rsidR="00D77B0E" w:rsidRPr="00522DF7" w:rsidRDefault="00D77B0E" w:rsidP="00D77B0E">
      <w:pPr>
        <w:rPr>
          <w:rFonts w:ascii="Cambria" w:hAnsi="Cambria" w:cs="Verdana"/>
          <w:i/>
          <w:sz w:val="18"/>
          <w:szCs w:val="18"/>
        </w:rPr>
      </w:pPr>
      <w:r w:rsidRPr="00522DF7">
        <w:rPr>
          <w:rFonts w:ascii="Cambria" w:hAnsi="Cambria" w:cs="Verdana"/>
          <w:i/>
          <w:sz w:val="18"/>
          <w:szCs w:val="18"/>
        </w:rPr>
        <w:t xml:space="preserve">Fonte: Elaborazioni su dati del Ministero dell’Interno – </w:t>
      </w:r>
      <w:r>
        <w:rPr>
          <w:rFonts w:ascii="Cambria" w:hAnsi="Cambria" w:cs="Verdana"/>
          <w:i/>
          <w:sz w:val="18"/>
          <w:szCs w:val="18"/>
        </w:rPr>
        <w:t>bilanci di previsione dei comuni</w:t>
      </w:r>
    </w:p>
    <w:p w:rsidR="00D77B0E" w:rsidRDefault="00D77B0E" w:rsidP="00D77B0E">
      <w:pPr>
        <w:spacing w:line="360" w:lineRule="auto"/>
      </w:pPr>
    </w:p>
    <w:p w:rsidR="00D77B0E" w:rsidRPr="00032734" w:rsidRDefault="00D77B0E" w:rsidP="00D77B0E">
      <w:pPr>
        <w:spacing w:line="360" w:lineRule="auto"/>
      </w:pPr>
      <w:r w:rsidRPr="00032734">
        <w:t>Meno marcata</w:t>
      </w:r>
      <w:r>
        <w:t xml:space="preserve"> rispetto alla media regionale</w:t>
      </w:r>
      <w:r w:rsidRPr="00032734">
        <w:t xml:space="preserve">, ma comunque evidente, la dinamica per quel che riguarda l’addizionale Irpef  che veicolerebbe per il 2012 alle casse dei comuni della provincia circa </w:t>
      </w:r>
      <w:r>
        <w:t>3,5</w:t>
      </w:r>
      <w:r w:rsidRPr="00032734">
        <w:t xml:space="preserve"> milioni in più rispetto al 2011. A livello pro-capite questo si concretizza, nella provincia, in un aumento previsto pari al 1</w:t>
      </w:r>
      <w:r>
        <w:t>5</w:t>
      </w:r>
      <w:r w:rsidRPr="00032734">
        <w:t>,</w:t>
      </w:r>
      <w:r>
        <w:t>3</w:t>
      </w:r>
      <w:r w:rsidRPr="00032734">
        <w:t>%.</w:t>
      </w:r>
    </w:p>
    <w:p w:rsidR="00D77B0E" w:rsidRPr="00031861" w:rsidRDefault="00D77B0E" w:rsidP="00D77B0E">
      <w:pPr>
        <w:rPr>
          <w:rFonts w:asciiTheme="majorHAnsi" w:hAnsiTheme="majorHAnsi"/>
          <w:b/>
          <w:sz w:val="22"/>
          <w:szCs w:val="22"/>
        </w:rPr>
      </w:pPr>
      <w:r>
        <w:rPr>
          <w:rFonts w:ascii="Garamond" w:hAnsi="Garamond"/>
          <w:b/>
          <w:sz w:val="20"/>
          <w:szCs w:val="20"/>
        </w:rPr>
        <w:t xml:space="preserve">Lombardia - </w:t>
      </w:r>
      <w:r w:rsidRPr="00031861">
        <w:rPr>
          <w:rFonts w:ascii="Garamond" w:hAnsi="Garamond"/>
          <w:b/>
          <w:sz w:val="20"/>
          <w:szCs w:val="20"/>
        </w:rPr>
        <w:t xml:space="preserve">Variazione tendenziale degli stanziamenti pro-capite da Addizionale Irpef. </w:t>
      </w:r>
      <w:r>
        <w:rPr>
          <w:rFonts w:ascii="Garamond" w:hAnsi="Garamond"/>
          <w:b/>
          <w:sz w:val="20"/>
          <w:szCs w:val="20"/>
        </w:rPr>
        <w:t xml:space="preserve">Dati medi provinciali. </w:t>
      </w:r>
      <w:r w:rsidRPr="00031861">
        <w:rPr>
          <w:rFonts w:ascii="Garamond" w:hAnsi="Garamond"/>
          <w:b/>
          <w:sz w:val="20"/>
          <w:szCs w:val="20"/>
        </w:rPr>
        <w:t>Valori %.</w:t>
      </w:r>
    </w:p>
    <w:tbl>
      <w:tblPr>
        <w:tblW w:w="5960" w:type="dxa"/>
        <w:tblInd w:w="55" w:type="dxa"/>
        <w:tblCellMar>
          <w:left w:w="70" w:type="dxa"/>
          <w:right w:w="70" w:type="dxa"/>
        </w:tblCellMar>
        <w:tblLook w:val="04A0"/>
      </w:tblPr>
      <w:tblGrid>
        <w:gridCol w:w="2120"/>
        <w:gridCol w:w="960"/>
        <w:gridCol w:w="960"/>
        <w:gridCol w:w="960"/>
        <w:gridCol w:w="960"/>
      </w:tblGrid>
      <w:tr w:rsidR="00D77B0E" w:rsidRPr="005E3760" w:rsidTr="00D73F13">
        <w:trPr>
          <w:trHeight w:val="240"/>
        </w:trPr>
        <w:tc>
          <w:tcPr>
            <w:tcW w:w="212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8"/>
                <w:szCs w:val="18"/>
              </w:rPr>
            </w:pPr>
            <w:r w:rsidRPr="005E3760">
              <w:rPr>
                <w:rFonts w:ascii="Garamond" w:hAnsi="Garamond" w:cs="Calibri"/>
                <w:b/>
                <w:bCs/>
                <w:color w:val="000000"/>
                <w:sz w:val="18"/>
                <w:szCs w:val="18"/>
              </w:rPr>
              <w:t>2009</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8"/>
                <w:szCs w:val="18"/>
              </w:rPr>
            </w:pPr>
            <w:r w:rsidRPr="005E3760">
              <w:rPr>
                <w:rFonts w:ascii="Garamond" w:hAnsi="Garamond" w:cs="Calibri"/>
                <w:b/>
                <w:bCs/>
                <w:color w:val="000000"/>
                <w:sz w:val="18"/>
                <w:szCs w:val="18"/>
              </w:rPr>
              <w:t>2010</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8"/>
                <w:szCs w:val="18"/>
              </w:rPr>
            </w:pPr>
            <w:r w:rsidRPr="005E3760">
              <w:rPr>
                <w:rFonts w:ascii="Garamond" w:hAnsi="Garamond" w:cs="Calibri"/>
                <w:b/>
                <w:bCs/>
                <w:color w:val="000000"/>
                <w:sz w:val="18"/>
                <w:szCs w:val="18"/>
              </w:rPr>
              <w:t>2011</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8"/>
                <w:szCs w:val="18"/>
              </w:rPr>
            </w:pPr>
            <w:r w:rsidRPr="005E3760">
              <w:rPr>
                <w:rFonts w:ascii="Garamond" w:hAnsi="Garamond" w:cs="Calibri"/>
                <w:b/>
                <w:bCs/>
                <w:color w:val="000000"/>
                <w:sz w:val="18"/>
                <w:szCs w:val="18"/>
              </w:rPr>
              <w:t>2012</w:t>
            </w:r>
          </w:p>
        </w:tc>
      </w:tr>
      <w:tr w:rsidR="00D77B0E" w:rsidRPr="009776CE" w:rsidTr="00D73F13">
        <w:trPr>
          <w:trHeight w:val="240"/>
        </w:trPr>
        <w:tc>
          <w:tcPr>
            <w:tcW w:w="2120" w:type="dxa"/>
            <w:tcBorders>
              <w:top w:val="nil"/>
              <w:left w:val="nil"/>
              <w:bottom w:val="nil"/>
              <w:right w:val="nil"/>
            </w:tcBorders>
            <w:shd w:val="clear" w:color="auto" w:fill="auto"/>
            <w:noWrap/>
            <w:vAlign w:val="bottom"/>
            <w:hideMark/>
          </w:tcPr>
          <w:p w:rsidR="00D77B0E" w:rsidRPr="009776CE" w:rsidRDefault="00D77B0E" w:rsidP="00D73F13">
            <w:pPr>
              <w:rPr>
                <w:rFonts w:ascii="Garamond" w:hAnsi="Garamond" w:cs="Calibri"/>
                <w:b/>
                <w:color w:val="000000"/>
                <w:sz w:val="18"/>
                <w:szCs w:val="18"/>
              </w:rPr>
            </w:pPr>
            <w:r w:rsidRPr="009776CE">
              <w:rPr>
                <w:rFonts w:ascii="Garamond" w:hAnsi="Garamond" w:cs="Calibri"/>
                <w:b/>
                <w:color w:val="000000"/>
                <w:sz w:val="18"/>
                <w:szCs w:val="18"/>
              </w:rPr>
              <w:t>Bergamo</w:t>
            </w:r>
          </w:p>
        </w:tc>
        <w:tc>
          <w:tcPr>
            <w:tcW w:w="96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3,9</w:t>
            </w:r>
          </w:p>
        </w:tc>
        <w:tc>
          <w:tcPr>
            <w:tcW w:w="96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0,4</w:t>
            </w:r>
          </w:p>
        </w:tc>
        <w:tc>
          <w:tcPr>
            <w:tcW w:w="96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5,3</w:t>
            </w:r>
          </w:p>
        </w:tc>
        <w:tc>
          <w:tcPr>
            <w:tcW w:w="96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15,3</w:t>
            </w:r>
          </w:p>
        </w:tc>
      </w:tr>
      <w:tr w:rsidR="00D77B0E" w:rsidRPr="005E3760" w:rsidTr="00D73F13">
        <w:trPr>
          <w:trHeight w:val="240"/>
        </w:trPr>
        <w:tc>
          <w:tcPr>
            <w:tcW w:w="2120" w:type="dxa"/>
            <w:tcBorders>
              <w:top w:val="nil"/>
              <w:left w:val="nil"/>
              <w:bottom w:val="nil"/>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Brescia</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3,9</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-0,2</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5,7</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86,4</w:t>
            </w:r>
          </w:p>
        </w:tc>
      </w:tr>
      <w:tr w:rsidR="00D77B0E" w:rsidRPr="005E3760" w:rsidTr="00D73F13">
        <w:trPr>
          <w:trHeight w:val="240"/>
        </w:trPr>
        <w:tc>
          <w:tcPr>
            <w:tcW w:w="2120" w:type="dxa"/>
            <w:tcBorders>
              <w:top w:val="nil"/>
              <w:left w:val="nil"/>
              <w:bottom w:val="nil"/>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Como</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0,3</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0,6</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6,0</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56,2</w:t>
            </w:r>
          </w:p>
        </w:tc>
      </w:tr>
      <w:tr w:rsidR="00D77B0E" w:rsidRPr="005E3760" w:rsidTr="00D73F13">
        <w:trPr>
          <w:trHeight w:val="240"/>
        </w:trPr>
        <w:tc>
          <w:tcPr>
            <w:tcW w:w="2120" w:type="dxa"/>
            <w:tcBorders>
              <w:top w:val="nil"/>
              <w:left w:val="nil"/>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Cremona</w:t>
            </w:r>
          </w:p>
        </w:tc>
        <w:tc>
          <w:tcPr>
            <w:tcW w:w="960" w:type="dxa"/>
            <w:tcBorders>
              <w:top w:val="nil"/>
              <w:left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6,5</w:t>
            </w:r>
          </w:p>
        </w:tc>
        <w:tc>
          <w:tcPr>
            <w:tcW w:w="960" w:type="dxa"/>
            <w:tcBorders>
              <w:top w:val="nil"/>
              <w:left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1,0</w:t>
            </w:r>
          </w:p>
        </w:tc>
        <w:tc>
          <w:tcPr>
            <w:tcW w:w="960" w:type="dxa"/>
            <w:tcBorders>
              <w:top w:val="nil"/>
              <w:left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22,5</w:t>
            </w:r>
          </w:p>
        </w:tc>
        <w:tc>
          <w:tcPr>
            <w:tcW w:w="960" w:type="dxa"/>
            <w:tcBorders>
              <w:top w:val="nil"/>
              <w:left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30,4</w:t>
            </w:r>
          </w:p>
        </w:tc>
      </w:tr>
      <w:tr w:rsidR="00D77B0E" w:rsidRPr="009776CE" w:rsidTr="00D73F13">
        <w:trPr>
          <w:trHeight w:val="240"/>
        </w:trPr>
        <w:tc>
          <w:tcPr>
            <w:tcW w:w="2120" w:type="dxa"/>
            <w:tcBorders>
              <w:left w:val="nil"/>
              <w:right w:val="nil"/>
            </w:tcBorders>
            <w:shd w:val="clear" w:color="auto" w:fill="auto"/>
            <w:noWrap/>
            <w:vAlign w:val="bottom"/>
            <w:hideMark/>
          </w:tcPr>
          <w:p w:rsidR="00D77B0E" w:rsidRPr="009776CE" w:rsidRDefault="00D77B0E" w:rsidP="00D73F13">
            <w:pPr>
              <w:rPr>
                <w:rFonts w:ascii="Garamond" w:hAnsi="Garamond" w:cs="Calibri"/>
                <w:color w:val="000000"/>
                <w:sz w:val="18"/>
                <w:szCs w:val="18"/>
              </w:rPr>
            </w:pPr>
            <w:r w:rsidRPr="009776CE">
              <w:rPr>
                <w:rFonts w:ascii="Garamond" w:hAnsi="Garamond" w:cs="Calibri"/>
                <w:color w:val="000000"/>
                <w:sz w:val="18"/>
                <w:szCs w:val="18"/>
              </w:rPr>
              <w:t>Lecco</w:t>
            </w:r>
          </w:p>
        </w:tc>
        <w:tc>
          <w:tcPr>
            <w:tcW w:w="96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18,8</w:t>
            </w:r>
          </w:p>
        </w:tc>
        <w:tc>
          <w:tcPr>
            <w:tcW w:w="96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0,3</w:t>
            </w:r>
          </w:p>
        </w:tc>
        <w:tc>
          <w:tcPr>
            <w:tcW w:w="96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5,3</w:t>
            </w:r>
          </w:p>
        </w:tc>
        <w:tc>
          <w:tcPr>
            <w:tcW w:w="96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19,7</w:t>
            </w:r>
          </w:p>
        </w:tc>
      </w:tr>
      <w:tr w:rsidR="00D77B0E" w:rsidRPr="005E3760" w:rsidTr="00D73F13">
        <w:trPr>
          <w:trHeight w:val="240"/>
        </w:trPr>
        <w:tc>
          <w:tcPr>
            <w:tcW w:w="2120" w:type="dxa"/>
            <w:tcBorders>
              <w:left w:val="nil"/>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Lodi</w:t>
            </w:r>
          </w:p>
        </w:tc>
        <w:tc>
          <w:tcPr>
            <w:tcW w:w="960" w:type="dxa"/>
            <w:tcBorders>
              <w:left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-2,3</w:t>
            </w:r>
          </w:p>
        </w:tc>
        <w:tc>
          <w:tcPr>
            <w:tcW w:w="960" w:type="dxa"/>
            <w:tcBorders>
              <w:left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0,1</w:t>
            </w:r>
          </w:p>
        </w:tc>
        <w:tc>
          <w:tcPr>
            <w:tcW w:w="960" w:type="dxa"/>
            <w:tcBorders>
              <w:left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2,4</w:t>
            </w:r>
          </w:p>
        </w:tc>
        <w:tc>
          <w:tcPr>
            <w:tcW w:w="960" w:type="dxa"/>
            <w:tcBorders>
              <w:left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39,5</w:t>
            </w:r>
          </w:p>
        </w:tc>
      </w:tr>
      <w:tr w:rsidR="00D77B0E" w:rsidRPr="005E3760" w:rsidTr="00D73F13">
        <w:trPr>
          <w:trHeight w:val="240"/>
        </w:trPr>
        <w:tc>
          <w:tcPr>
            <w:tcW w:w="2120" w:type="dxa"/>
            <w:tcBorders>
              <w:left w:val="nil"/>
              <w:right w:val="nil"/>
            </w:tcBorders>
            <w:shd w:val="clear" w:color="auto" w:fill="auto"/>
            <w:noWrap/>
            <w:vAlign w:val="bottom"/>
            <w:hideMark/>
          </w:tcPr>
          <w:p w:rsidR="00D77B0E" w:rsidRPr="007B1B13" w:rsidRDefault="00D77B0E" w:rsidP="00D73F13">
            <w:pPr>
              <w:rPr>
                <w:rFonts w:ascii="Garamond" w:hAnsi="Garamond" w:cs="Calibri"/>
                <w:bCs/>
                <w:color w:val="000000"/>
                <w:sz w:val="18"/>
                <w:szCs w:val="18"/>
              </w:rPr>
            </w:pPr>
            <w:r w:rsidRPr="007B1B13">
              <w:rPr>
                <w:rFonts w:ascii="Garamond" w:hAnsi="Garamond" w:cs="Calibri"/>
                <w:bCs/>
                <w:color w:val="000000"/>
                <w:sz w:val="18"/>
                <w:szCs w:val="18"/>
              </w:rPr>
              <w:t>Mantova</w:t>
            </w:r>
          </w:p>
        </w:tc>
        <w:tc>
          <w:tcPr>
            <w:tcW w:w="96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1,4</w:t>
            </w:r>
          </w:p>
        </w:tc>
        <w:tc>
          <w:tcPr>
            <w:tcW w:w="96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-2,3</w:t>
            </w:r>
          </w:p>
        </w:tc>
        <w:tc>
          <w:tcPr>
            <w:tcW w:w="96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3,3</w:t>
            </w:r>
          </w:p>
        </w:tc>
        <w:tc>
          <w:tcPr>
            <w:tcW w:w="96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18,3</w:t>
            </w:r>
          </w:p>
        </w:tc>
      </w:tr>
      <w:tr w:rsidR="00D77B0E" w:rsidRPr="005E3760" w:rsidTr="00D73F13">
        <w:trPr>
          <w:trHeight w:val="240"/>
        </w:trPr>
        <w:tc>
          <w:tcPr>
            <w:tcW w:w="2120" w:type="dxa"/>
            <w:tcBorders>
              <w:left w:val="nil"/>
              <w:bottom w:val="nil"/>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Milano</w:t>
            </w:r>
          </w:p>
        </w:tc>
        <w:tc>
          <w:tcPr>
            <w:tcW w:w="960" w:type="dxa"/>
            <w:tcBorders>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2,2</w:t>
            </w:r>
          </w:p>
        </w:tc>
        <w:tc>
          <w:tcPr>
            <w:tcW w:w="960" w:type="dxa"/>
            <w:tcBorders>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2,3</w:t>
            </w:r>
          </w:p>
        </w:tc>
        <w:tc>
          <w:tcPr>
            <w:tcW w:w="960" w:type="dxa"/>
            <w:tcBorders>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4,0</w:t>
            </w:r>
          </w:p>
        </w:tc>
        <w:tc>
          <w:tcPr>
            <w:tcW w:w="960" w:type="dxa"/>
            <w:tcBorders>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91,4</w:t>
            </w:r>
          </w:p>
        </w:tc>
      </w:tr>
      <w:tr w:rsidR="00D77B0E" w:rsidRPr="005E3760" w:rsidTr="00D73F13">
        <w:trPr>
          <w:trHeight w:val="240"/>
        </w:trPr>
        <w:tc>
          <w:tcPr>
            <w:tcW w:w="2120" w:type="dxa"/>
            <w:tcBorders>
              <w:top w:val="nil"/>
              <w:left w:val="nil"/>
              <w:bottom w:val="nil"/>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Monza e Brianza</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2,9</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-0,5</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5,3</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16,3</w:t>
            </w:r>
          </w:p>
        </w:tc>
      </w:tr>
      <w:tr w:rsidR="00D77B0E" w:rsidRPr="005E3760" w:rsidTr="00D73F13">
        <w:trPr>
          <w:trHeight w:val="240"/>
        </w:trPr>
        <w:tc>
          <w:tcPr>
            <w:tcW w:w="2120" w:type="dxa"/>
            <w:tcBorders>
              <w:top w:val="nil"/>
              <w:left w:val="nil"/>
              <w:bottom w:val="nil"/>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Pavia</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3,5</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-0,5</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5,1</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26,3</w:t>
            </w:r>
          </w:p>
        </w:tc>
      </w:tr>
      <w:tr w:rsidR="00D77B0E" w:rsidRPr="005E3760" w:rsidTr="00D73F13">
        <w:trPr>
          <w:trHeight w:val="240"/>
        </w:trPr>
        <w:tc>
          <w:tcPr>
            <w:tcW w:w="2120" w:type="dxa"/>
            <w:tcBorders>
              <w:top w:val="nil"/>
              <w:left w:val="nil"/>
              <w:bottom w:val="nil"/>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Sondrio</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5,7</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2,3</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4,4</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4,3</w:t>
            </w:r>
          </w:p>
        </w:tc>
      </w:tr>
      <w:tr w:rsidR="00D77B0E" w:rsidRPr="005E3760" w:rsidTr="00D73F13">
        <w:trPr>
          <w:trHeight w:val="240"/>
        </w:trPr>
        <w:tc>
          <w:tcPr>
            <w:tcW w:w="2120" w:type="dxa"/>
            <w:tcBorders>
              <w:top w:val="nil"/>
              <w:left w:val="nil"/>
              <w:bottom w:val="nil"/>
              <w:right w:val="nil"/>
            </w:tcBorders>
            <w:shd w:val="clear" w:color="auto" w:fill="auto"/>
            <w:noWrap/>
            <w:vAlign w:val="bottom"/>
            <w:hideMark/>
          </w:tcPr>
          <w:p w:rsidR="00D77B0E" w:rsidRPr="005E3760" w:rsidRDefault="00D77B0E" w:rsidP="00D73F13">
            <w:pPr>
              <w:rPr>
                <w:rFonts w:ascii="Garamond" w:hAnsi="Garamond" w:cs="Calibri"/>
                <w:color w:val="000000"/>
                <w:sz w:val="18"/>
                <w:szCs w:val="18"/>
              </w:rPr>
            </w:pPr>
            <w:r w:rsidRPr="005E3760">
              <w:rPr>
                <w:rFonts w:ascii="Garamond" w:hAnsi="Garamond" w:cs="Calibri"/>
                <w:color w:val="000000"/>
                <w:sz w:val="18"/>
                <w:szCs w:val="18"/>
              </w:rPr>
              <w:t>Varese</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2,8</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7,0</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2,2</w:t>
            </w:r>
          </w:p>
        </w:tc>
        <w:tc>
          <w:tcPr>
            <w:tcW w:w="960" w:type="dxa"/>
            <w:tcBorders>
              <w:top w:val="nil"/>
              <w:left w:val="nil"/>
              <w:bottom w:val="nil"/>
              <w:right w:val="nil"/>
            </w:tcBorders>
            <w:shd w:val="clear" w:color="auto" w:fill="auto"/>
            <w:noWrap/>
            <w:vAlign w:val="bottom"/>
            <w:hideMark/>
          </w:tcPr>
          <w:p w:rsidR="00D77B0E" w:rsidRPr="005E3760" w:rsidRDefault="00D77B0E" w:rsidP="00D73F13">
            <w:pPr>
              <w:jc w:val="center"/>
              <w:rPr>
                <w:rFonts w:ascii="Garamond" w:hAnsi="Garamond" w:cs="Calibri"/>
                <w:color w:val="000000"/>
                <w:sz w:val="18"/>
                <w:szCs w:val="18"/>
              </w:rPr>
            </w:pPr>
            <w:r w:rsidRPr="005E3760">
              <w:rPr>
                <w:rFonts w:ascii="Garamond" w:hAnsi="Garamond" w:cs="Calibri"/>
                <w:color w:val="000000"/>
                <w:sz w:val="18"/>
                <w:szCs w:val="18"/>
              </w:rPr>
              <w:t>23,7</w:t>
            </w:r>
          </w:p>
        </w:tc>
      </w:tr>
      <w:tr w:rsidR="00D77B0E" w:rsidRPr="005E3760" w:rsidTr="00D73F13">
        <w:trPr>
          <w:trHeight w:val="165"/>
        </w:trPr>
        <w:tc>
          <w:tcPr>
            <w:tcW w:w="212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rPr>
                <w:rFonts w:ascii="Garamond" w:hAnsi="Garamond" w:cs="Calibri"/>
                <w:color w:val="000000"/>
                <w:sz w:val="10"/>
                <w:szCs w:val="10"/>
              </w:rPr>
            </w:pPr>
            <w:r w:rsidRPr="005E3760">
              <w:rPr>
                <w:rFonts w:ascii="Garamond" w:hAnsi="Garamond" w:cs="Calibri"/>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0"/>
                <w:szCs w:val="10"/>
              </w:rPr>
            </w:pPr>
            <w:r w:rsidRPr="005E3760">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0"/>
                <w:szCs w:val="10"/>
              </w:rPr>
            </w:pPr>
            <w:r w:rsidRPr="005E3760">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0"/>
                <w:szCs w:val="10"/>
              </w:rPr>
            </w:pPr>
            <w:r w:rsidRPr="005E3760">
              <w:rPr>
                <w:rFonts w:ascii="Garamond" w:hAnsi="Garamond" w:cs="Calibri"/>
                <w:b/>
                <w:bCs/>
                <w:color w:val="000000"/>
                <w:sz w:val="10"/>
                <w:szCs w:val="10"/>
              </w:rPr>
              <w:t> </w:t>
            </w:r>
          </w:p>
        </w:tc>
        <w:tc>
          <w:tcPr>
            <w:tcW w:w="960" w:type="dxa"/>
            <w:tcBorders>
              <w:top w:val="single" w:sz="4" w:space="0" w:color="auto"/>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0"/>
                <w:szCs w:val="10"/>
              </w:rPr>
            </w:pPr>
            <w:r w:rsidRPr="005E3760">
              <w:rPr>
                <w:rFonts w:ascii="Garamond" w:hAnsi="Garamond" w:cs="Calibri"/>
                <w:b/>
                <w:bCs/>
                <w:color w:val="000000"/>
                <w:sz w:val="10"/>
                <w:szCs w:val="10"/>
              </w:rPr>
              <w:t> </w:t>
            </w:r>
          </w:p>
        </w:tc>
      </w:tr>
      <w:tr w:rsidR="00D77B0E" w:rsidRPr="005E3760" w:rsidTr="00D73F13">
        <w:trPr>
          <w:trHeight w:val="240"/>
        </w:trPr>
        <w:tc>
          <w:tcPr>
            <w:tcW w:w="2120" w:type="dxa"/>
            <w:tcBorders>
              <w:top w:val="nil"/>
              <w:left w:val="nil"/>
              <w:bottom w:val="single" w:sz="4" w:space="0" w:color="auto"/>
              <w:right w:val="nil"/>
            </w:tcBorders>
            <w:shd w:val="clear" w:color="auto" w:fill="auto"/>
            <w:noWrap/>
            <w:vAlign w:val="bottom"/>
            <w:hideMark/>
          </w:tcPr>
          <w:p w:rsidR="00D77B0E" w:rsidRPr="005E3760" w:rsidRDefault="00D77B0E" w:rsidP="00D73F13">
            <w:pPr>
              <w:rPr>
                <w:rFonts w:ascii="Garamond" w:hAnsi="Garamond" w:cs="Calibri"/>
                <w:b/>
                <w:bCs/>
                <w:color w:val="000000"/>
                <w:sz w:val="18"/>
                <w:szCs w:val="18"/>
              </w:rPr>
            </w:pPr>
            <w:r w:rsidRPr="005E3760">
              <w:rPr>
                <w:rFonts w:ascii="Garamond" w:hAnsi="Garamond" w:cs="Calibri"/>
                <w:b/>
                <w:bCs/>
                <w:color w:val="000000"/>
                <w:sz w:val="18"/>
                <w:szCs w:val="18"/>
              </w:rPr>
              <w:t>Lombardia</w:t>
            </w:r>
          </w:p>
        </w:tc>
        <w:tc>
          <w:tcPr>
            <w:tcW w:w="960" w:type="dxa"/>
            <w:tcBorders>
              <w:top w:val="nil"/>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8"/>
                <w:szCs w:val="18"/>
              </w:rPr>
            </w:pPr>
            <w:r w:rsidRPr="005E3760">
              <w:rPr>
                <w:rFonts w:ascii="Garamond" w:hAnsi="Garamond" w:cs="Calibri"/>
                <w:b/>
                <w:bCs/>
                <w:color w:val="000000"/>
                <w:sz w:val="18"/>
                <w:szCs w:val="18"/>
              </w:rPr>
              <w:t>3,3</w:t>
            </w:r>
          </w:p>
        </w:tc>
        <w:tc>
          <w:tcPr>
            <w:tcW w:w="960" w:type="dxa"/>
            <w:tcBorders>
              <w:top w:val="nil"/>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8"/>
                <w:szCs w:val="18"/>
              </w:rPr>
            </w:pPr>
            <w:r w:rsidRPr="005E3760">
              <w:rPr>
                <w:rFonts w:ascii="Garamond" w:hAnsi="Garamond" w:cs="Calibri"/>
                <w:b/>
                <w:bCs/>
                <w:color w:val="000000"/>
                <w:sz w:val="18"/>
                <w:szCs w:val="18"/>
              </w:rPr>
              <w:t>1,4</w:t>
            </w:r>
          </w:p>
        </w:tc>
        <w:tc>
          <w:tcPr>
            <w:tcW w:w="960" w:type="dxa"/>
            <w:tcBorders>
              <w:top w:val="nil"/>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8"/>
                <w:szCs w:val="18"/>
              </w:rPr>
            </w:pPr>
            <w:r w:rsidRPr="005E3760">
              <w:rPr>
                <w:rFonts w:ascii="Garamond" w:hAnsi="Garamond" w:cs="Calibri"/>
                <w:b/>
                <w:bCs/>
                <w:color w:val="000000"/>
                <w:sz w:val="18"/>
                <w:szCs w:val="18"/>
              </w:rPr>
              <w:t>5,0</w:t>
            </w:r>
          </w:p>
        </w:tc>
        <w:tc>
          <w:tcPr>
            <w:tcW w:w="960" w:type="dxa"/>
            <w:tcBorders>
              <w:top w:val="nil"/>
              <w:left w:val="nil"/>
              <w:bottom w:val="single" w:sz="4" w:space="0" w:color="auto"/>
              <w:right w:val="nil"/>
            </w:tcBorders>
            <w:shd w:val="clear" w:color="auto" w:fill="auto"/>
            <w:noWrap/>
            <w:vAlign w:val="bottom"/>
            <w:hideMark/>
          </w:tcPr>
          <w:p w:rsidR="00D77B0E" w:rsidRPr="005E3760" w:rsidRDefault="00D77B0E" w:rsidP="00D73F13">
            <w:pPr>
              <w:jc w:val="center"/>
              <w:rPr>
                <w:rFonts w:ascii="Garamond" w:hAnsi="Garamond" w:cs="Calibri"/>
                <w:b/>
                <w:bCs/>
                <w:color w:val="000000"/>
                <w:sz w:val="18"/>
                <w:szCs w:val="18"/>
              </w:rPr>
            </w:pPr>
            <w:r w:rsidRPr="005E3760">
              <w:rPr>
                <w:rFonts w:ascii="Garamond" w:hAnsi="Garamond" w:cs="Calibri"/>
                <w:b/>
                <w:bCs/>
                <w:color w:val="000000"/>
                <w:sz w:val="18"/>
                <w:szCs w:val="18"/>
              </w:rPr>
              <w:t>46,6</w:t>
            </w:r>
          </w:p>
        </w:tc>
      </w:tr>
    </w:tbl>
    <w:p w:rsidR="00D77B0E" w:rsidRPr="00C32A1C" w:rsidRDefault="00D77B0E" w:rsidP="00D77B0E">
      <w:pPr>
        <w:rPr>
          <w:rFonts w:ascii="Cambria" w:hAnsi="Cambria" w:cs="Verdana"/>
          <w:i/>
          <w:sz w:val="18"/>
          <w:szCs w:val="18"/>
        </w:rPr>
      </w:pPr>
      <w:r w:rsidRPr="00C32A1C">
        <w:rPr>
          <w:rFonts w:ascii="Cambria" w:hAnsi="Cambria" w:cs="Verdana"/>
          <w:i/>
          <w:sz w:val="18"/>
          <w:szCs w:val="18"/>
        </w:rPr>
        <w:t xml:space="preserve">Fonte: Elaborazioni su dati del Ministero dell’Interno – </w:t>
      </w:r>
      <w:r>
        <w:rPr>
          <w:rFonts w:ascii="Cambria" w:hAnsi="Cambria" w:cs="Verdana"/>
          <w:i/>
          <w:sz w:val="18"/>
          <w:szCs w:val="18"/>
        </w:rPr>
        <w:t>bilanci di previsione dei comuni</w:t>
      </w:r>
    </w:p>
    <w:p w:rsidR="00D77B0E" w:rsidRPr="00031861" w:rsidRDefault="00D77B0E" w:rsidP="00D77B0E">
      <w:pPr>
        <w:rPr>
          <w:rFonts w:asciiTheme="majorHAnsi" w:hAnsiTheme="majorHAnsi"/>
          <w:b/>
          <w:sz w:val="22"/>
          <w:szCs w:val="22"/>
        </w:rPr>
      </w:pPr>
    </w:p>
    <w:p w:rsidR="00D77B0E" w:rsidRDefault="00D77B0E" w:rsidP="00D77B0E">
      <w:pPr>
        <w:spacing w:line="360" w:lineRule="auto"/>
      </w:pPr>
      <w:r w:rsidRPr="000F56E0">
        <w:t xml:space="preserve">Da sottolineare che l’incremento medio di tale aliquote risulta molto più elevato nei comuni </w:t>
      </w:r>
      <w:r>
        <w:t>compresi tra 3 mila e 10 mila abitanti e nei comuni con p</w:t>
      </w:r>
      <w:r w:rsidRPr="000F56E0">
        <w:t xml:space="preserve">iù </w:t>
      </w:r>
      <w:r>
        <w:t xml:space="preserve">di 20 mila abitanti, con </w:t>
      </w:r>
      <w:r w:rsidRPr="000F56E0">
        <w:t xml:space="preserve">esclusione del Comune di </w:t>
      </w:r>
      <w:r>
        <w:t>Bergamo</w:t>
      </w:r>
      <w:r w:rsidRPr="000F56E0">
        <w:t xml:space="preserve">.  </w:t>
      </w:r>
    </w:p>
    <w:p w:rsidR="00D77B0E" w:rsidRPr="000F56E0" w:rsidRDefault="00D77B0E" w:rsidP="00D77B0E">
      <w:pPr>
        <w:spacing w:line="360" w:lineRule="auto"/>
      </w:pPr>
    </w:p>
    <w:p w:rsidR="00D77B0E" w:rsidRDefault="00D77B0E" w:rsidP="00D77B0E">
      <w:pPr>
        <w:rPr>
          <w:rFonts w:ascii="Garamond" w:hAnsi="Garamond"/>
          <w:b/>
          <w:sz w:val="20"/>
          <w:szCs w:val="20"/>
        </w:rPr>
      </w:pPr>
      <w:r>
        <w:rPr>
          <w:rFonts w:ascii="Garamond" w:hAnsi="Garamond"/>
          <w:b/>
          <w:sz w:val="20"/>
          <w:szCs w:val="20"/>
        </w:rPr>
        <w:t>Provincia di Bergamo - S</w:t>
      </w:r>
      <w:r w:rsidRPr="00031861">
        <w:rPr>
          <w:rFonts w:ascii="Garamond" w:hAnsi="Garamond"/>
          <w:b/>
          <w:sz w:val="20"/>
          <w:szCs w:val="20"/>
        </w:rPr>
        <w:t xml:space="preserve">tanziamenti pro-capite da Addizionale Irpef. </w:t>
      </w:r>
      <w:r>
        <w:rPr>
          <w:rFonts w:ascii="Garamond" w:hAnsi="Garamond"/>
          <w:b/>
          <w:sz w:val="20"/>
          <w:szCs w:val="20"/>
        </w:rPr>
        <w:t xml:space="preserve">Dati medi per dimensione demografica dei comuni. </w:t>
      </w:r>
      <w:r w:rsidRPr="00031861">
        <w:rPr>
          <w:rFonts w:ascii="Garamond" w:hAnsi="Garamond"/>
          <w:b/>
          <w:sz w:val="20"/>
          <w:szCs w:val="20"/>
        </w:rPr>
        <w:t xml:space="preserve">Valori </w:t>
      </w:r>
      <w:r>
        <w:rPr>
          <w:rFonts w:ascii="Garamond" w:hAnsi="Garamond"/>
          <w:b/>
          <w:sz w:val="20"/>
          <w:szCs w:val="20"/>
        </w:rPr>
        <w:t>in Euro</w:t>
      </w:r>
      <w:r w:rsidRPr="00031861">
        <w:rPr>
          <w:rFonts w:ascii="Garamond" w:hAnsi="Garamond"/>
          <w:b/>
          <w:sz w:val="20"/>
          <w:szCs w:val="20"/>
        </w:rPr>
        <w:t>.</w:t>
      </w:r>
    </w:p>
    <w:tbl>
      <w:tblPr>
        <w:tblW w:w="4880" w:type="dxa"/>
        <w:tblInd w:w="55" w:type="dxa"/>
        <w:tblCellMar>
          <w:left w:w="70" w:type="dxa"/>
          <w:right w:w="70" w:type="dxa"/>
        </w:tblCellMar>
        <w:tblLook w:val="04A0"/>
      </w:tblPr>
      <w:tblGrid>
        <w:gridCol w:w="2020"/>
        <w:gridCol w:w="700"/>
        <w:gridCol w:w="700"/>
        <w:gridCol w:w="700"/>
        <w:gridCol w:w="760"/>
      </w:tblGrid>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2009</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2010</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2012</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Fino a 3.000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32,9</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31,6</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35,6</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38,0</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3.001 - 5.000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37,0</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36,7</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37,1</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45,7</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5.001 - 10.000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38,9</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40,0</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42,8</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53,7</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10.001 – 20.000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38,9</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38,8</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41,5</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43,0</w:t>
            </w:r>
          </w:p>
        </w:tc>
      </w:tr>
      <w:tr w:rsidR="00D77B0E" w:rsidRPr="004E328C" w:rsidTr="00D73F13">
        <w:trPr>
          <w:trHeight w:val="240"/>
        </w:trPr>
        <w:tc>
          <w:tcPr>
            <w:tcW w:w="2020" w:type="dxa"/>
            <w:tcBorders>
              <w:top w:val="nil"/>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Oltre 20.000 Abitanti (*)</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45,5</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46,6</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46,4</w:t>
            </w:r>
          </w:p>
        </w:tc>
        <w:tc>
          <w:tcPr>
            <w:tcW w:w="76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64,4</w:t>
            </w:r>
          </w:p>
        </w:tc>
      </w:tr>
      <w:tr w:rsidR="00D77B0E" w:rsidRPr="004E328C" w:rsidTr="00D73F13">
        <w:trPr>
          <w:trHeight w:val="123"/>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Comune di Bergamo</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106,1</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105,1</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108,7</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108,7</w:t>
            </w:r>
          </w:p>
        </w:tc>
      </w:tr>
      <w:tr w:rsidR="00D77B0E" w:rsidRPr="004E328C" w:rsidTr="00D73F13">
        <w:trPr>
          <w:trHeight w:val="156"/>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Provincia di Bergamo</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45,5</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45,7</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48,1</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55,5</w:t>
            </w:r>
          </w:p>
        </w:tc>
      </w:tr>
      <w:tr w:rsidR="00D77B0E" w:rsidRPr="004E328C" w:rsidTr="00D73F13">
        <w:trPr>
          <w:trHeight w:val="7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b/>
                <w:bCs/>
                <w:color w:val="000000"/>
                <w:sz w:val="18"/>
                <w:szCs w:val="18"/>
              </w:rPr>
            </w:pPr>
            <w:r w:rsidRPr="004E328C">
              <w:rPr>
                <w:rFonts w:ascii="Garamond" w:hAnsi="Garamond" w:cs="Calibri"/>
                <w:b/>
                <w:bCs/>
                <w:color w:val="000000"/>
                <w:sz w:val="18"/>
                <w:szCs w:val="18"/>
              </w:rPr>
              <w:t>Lombardia</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40,0</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40,6</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42,6</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62,4</w:t>
            </w:r>
          </w:p>
        </w:tc>
      </w:tr>
    </w:tbl>
    <w:p w:rsidR="00D77B0E" w:rsidRPr="00522DF7" w:rsidRDefault="00D77B0E" w:rsidP="00D77B0E">
      <w:pPr>
        <w:rPr>
          <w:rFonts w:ascii="Cambria" w:hAnsi="Cambria" w:cs="Verdana"/>
          <w:i/>
          <w:sz w:val="18"/>
          <w:szCs w:val="18"/>
        </w:rPr>
      </w:pPr>
      <w:r w:rsidRPr="00522DF7">
        <w:rPr>
          <w:rFonts w:ascii="Cambria" w:hAnsi="Cambria" w:cs="Verdana"/>
          <w:i/>
          <w:sz w:val="18"/>
          <w:szCs w:val="18"/>
        </w:rPr>
        <w:t xml:space="preserve">Fonte: Elaborazioni su dati del Ministero dell’Interno – </w:t>
      </w:r>
      <w:r>
        <w:rPr>
          <w:rFonts w:ascii="Cambria" w:hAnsi="Cambria" w:cs="Verdana"/>
          <w:i/>
          <w:sz w:val="18"/>
          <w:szCs w:val="18"/>
        </w:rPr>
        <w:t>bilanci di previsione dei comuni</w:t>
      </w:r>
    </w:p>
    <w:p w:rsidR="00D77B0E" w:rsidRPr="007B1B13" w:rsidRDefault="00D77B0E" w:rsidP="00D77B0E">
      <w:pPr>
        <w:rPr>
          <w:rFonts w:ascii="Garamond" w:hAnsi="Garamond"/>
          <w:sz w:val="20"/>
          <w:szCs w:val="20"/>
        </w:rPr>
      </w:pPr>
      <w:r w:rsidRPr="007B1B13">
        <w:rPr>
          <w:rFonts w:ascii="Garamond" w:hAnsi="Garamond"/>
          <w:sz w:val="20"/>
          <w:szCs w:val="20"/>
        </w:rPr>
        <w:t xml:space="preserve">(*) comune di </w:t>
      </w:r>
      <w:r>
        <w:rPr>
          <w:rFonts w:ascii="Garamond" w:hAnsi="Garamond"/>
          <w:sz w:val="20"/>
          <w:szCs w:val="20"/>
        </w:rPr>
        <w:t>Bergamo</w:t>
      </w:r>
      <w:r w:rsidRPr="007B1B13">
        <w:rPr>
          <w:rFonts w:ascii="Garamond" w:hAnsi="Garamond"/>
          <w:sz w:val="20"/>
          <w:szCs w:val="20"/>
        </w:rPr>
        <w:t xml:space="preserve"> escluso</w:t>
      </w:r>
    </w:p>
    <w:p w:rsidR="00D77B0E" w:rsidRDefault="00D77B0E" w:rsidP="00D77B0E">
      <w:pPr>
        <w:rPr>
          <w:rFonts w:asciiTheme="majorHAnsi" w:hAnsiTheme="majorHAnsi"/>
          <w:b/>
          <w:sz w:val="22"/>
          <w:szCs w:val="22"/>
        </w:rPr>
      </w:pPr>
    </w:p>
    <w:p w:rsidR="00D77B0E" w:rsidRDefault="00D77B0E" w:rsidP="00D77B0E">
      <w:pPr>
        <w:rPr>
          <w:rFonts w:asciiTheme="majorHAnsi" w:hAnsiTheme="majorHAnsi"/>
          <w:b/>
          <w:sz w:val="22"/>
          <w:szCs w:val="22"/>
        </w:rPr>
      </w:pPr>
    </w:p>
    <w:p w:rsidR="00D77B0E" w:rsidRDefault="00D77B0E" w:rsidP="00D77B0E">
      <w:pPr>
        <w:rPr>
          <w:rFonts w:ascii="Garamond" w:hAnsi="Garamond"/>
          <w:b/>
          <w:sz w:val="20"/>
          <w:szCs w:val="20"/>
        </w:rPr>
      </w:pPr>
      <w:r>
        <w:rPr>
          <w:rFonts w:ascii="Garamond" w:hAnsi="Garamond"/>
          <w:b/>
          <w:sz w:val="20"/>
          <w:szCs w:val="20"/>
        </w:rPr>
        <w:t xml:space="preserve">Provincia di Bergamo - </w:t>
      </w:r>
      <w:r w:rsidRPr="00031861">
        <w:rPr>
          <w:rFonts w:ascii="Garamond" w:hAnsi="Garamond"/>
          <w:b/>
          <w:sz w:val="20"/>
          <w:szCs w:val="20"/>
        </w:rPr>
        <w:t xml:space="preserve">Variazione tendenziale degli stanziamenti pro-capite da Addizionale Irpef. </w:t>
      </w:r>
      <w:r>
        <w:rPr>
          <w:rFonts w:ascii="Garamond" w:hAnsi="Garamond"/>
          <w:b/>
          <w:sz w:val="20"/>
          <w:szCs w:val="20"/>
        </w:rPr>
        <w:t xml:space="preserve">Dati medi per dimensione demografica dei comuni. </w:t>
      </w:r>
      <w:r w:rsidRPr="00031861">
        <w:rPr>
          <w:rFonts w:ascii="Garamond" w:hAnsi="Garamond"/>
          <w:b/>
          <w:sz w:val="20"/>
          <w:szCs w:val="20"/>
        </w:rPr>
        <w:t>Valori %.</w:t>
      </w:r>
    </w:p>
    <w:tbl>
      <w:tblPr>
        <w:tblW w:w="4880" w:type="dxa"/>
        <w:tblInd w:w="55" w:type="dxa"/>
        <w:tblCellMar>
          <w:left w:w="70" w:type="dxa"/>
          <w:right w:w="70" w:type="dxa"/>
        </w:tblCellMar>
        <w:tblLook w:val="04A0"/>
      </w:tblPr>
      <w:tblGrid>
        <w:gridCol w:w="2020"/>
        <w:gridCol w:w="700"/>
        <w:gridCol w:w="700"/>
        <w:gridCol w:w="700"/>
        <w:gridCol w:w="760"/>
      </w:tblGrid>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2009</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2010</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2012</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Fino a 3.000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4,8</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-4,1</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12,9</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6,7</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3.001 - 5.000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1,3</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-0,8</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0,9</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23,3</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5.001 - 10.000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2,5</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2,9</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7,0</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25,4</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10.001 – 20.000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5,7</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-0,3</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7,1</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3,5</w:t>
            </w:r>
          </w:p>
        </w:tc>
      </w:tr>
      <w:tr w:rsidR="00D77B0E" w:rsidRPr="004E328C" w:rsidTr="00D73F13">
        <w:trPr>
          <w:trHeight w:val="240"/>
        </w:trPr>
        <w:tc>
          <w:tcPr>
            <w:tcW w:w="2020" w:type="dxa"/>
            <w:tcBorders>
              <w:top w:val="nil"/>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Oltre 20.000 Abitanti (*)</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11,4</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2,5</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-0,5</w:t>
            </w:r>
          </w:p>
        </w:tc>
        <w:tc>
          <w:tcPr>
            <w:tcW w:w="76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38,7</w:t>
            </w:r>
          </w:p>
        </w:tc>
      </w:tr>
      <w:tr w:rsidR="00D77B0E" w:rsidRPr="004E328C" w:rsidTr="00D73F13">
        <w:trPr>
          <w:trHeight w:val="7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Comune di Bergamo</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4,5</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-0,9</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3,5</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0,0</w:t>
            </w:r>
          </w:p>
        </w:tc>
      </w:tr>
      <w:tr w:rsidR="00D77B0E" w:rsidRPr="004E328C" w:rsidTr="00D73F13">
        <w:trPr>
          <w:trHeight w:val="7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Provincia di Bergamo</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3,9</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0,4</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5,3</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15,3</w:t>
            </w:r>
          </w:p>
        </w:tc>
      </w:tr>
      <w:tr w:rsidR="00D77B0E" w:rsidRPr="004E328C" w:rsidTr="00D73F13">
        <w:trPr>
          <w:trHeight w:val="7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b/>
                <w:bCs/>
                <w:color w:val="000000"/>
                <w:sz w:val="18"/>
                <w:szCs w:val="18"/>
              </w:rPr>
            </w:pPr>
            <w:r w:rsidRPr="004E328C">
              <w:rPr>
                <w:rFonts w:ascii="Garamond" w:hAnsi="Garamond" w:cs="Calibri"/>
                <w:b/>
                <w:bCs/>
                <w:color w:val="000000"/>
                <w:sz w:val="18"/>
                <w:szCs w:val="18"/>
              </w:rPr>
              <w:t>Lombardia</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3,3</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1,4</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5,0</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46,6</w:t>
            </w:r>
          </w:p>
        </w:tc>
      </w:tr>
    </w:tbl>
    <w:p w:rsidR="00D77B0E" w:rsidRPr="00522DF7" w:rsidRDefault="00D77B0E" w:rsidP="00D77B0E">
      <w:pPr>
        <w:rPr>
          <w:rFonts w:ascii="Cambria" w:hAnsi="Cambria" w:cs="Verdana"/>
          <w:i/>
          <w:sz w:val="18"/>
          <w:szCs w:val="18"/>
        </w:rPr>
      </w:pPr>
      <w:r w:rsidRPr="00522DF7">
        <w:rPr>
          <w:rFonts w:ascii="Cambria" w:hAnsi="Cambria" w:cs="Verdana"/>
          <w:i/>
          <w:sz w:val="18"/>
          <w:szCs w:val="18"/>
        </w:rPr>
        <w:t xml:space="preserve">Fonte: Elaborazioni su dati del Ministero dell’Interno – </w:t>
      </w:r>
      <w:r>
        <w:rPr>
          <w:rFonts w:ascii="Cambria" w:hAnsi="Cambria" w:cs="Verdana"/>
          <w:i/>
          <w:sz w:val="18"/>
          <w:szCs w:val="18"/>
        </w:rPr>
        <w:t>bilanci di previsione dei comuni</w:t>
      </w:r>
    </w:p>
    <w:p w:rsidR="00D77B0E" w:rsidRPr="007B1B13" w:rsidRDefault="00D77B0E" w:rsidP="00D77B0E">
      <w:pPr>
        <w:rPr>
          <w:rFonts w:ascii="Garamond" w:hAnsi="Garamond"/>
          <w:sz w:val="20"/>
          <w:szCs w:val="20"/>
        </w:rPr>
      </w:pPr>
      <w:r w:rsidRPr="007B1B13">
        <w:rPr>
          <w:rFonts w:ascii="Garamond" w:hAnsi="Garamond"/>
          <w:sz w:val="20"/>
          <w:szCs w:val="20"/>
        </w:rPr>
        <w:t xml:space="preserve">(*) comune di </w:t>
      </w:r>
      <w:r>
        <w:rPr>
          <w:rFonts w:ascii="Garamond" w:hAnsi="Garamond"/>
          <w:sz w:val="20"/>
          <w:szCs w:val="20"/>
        </w:rPr>
        <w:t>Bergamo</w:t>
      </w:r>
      <w:r w:rsidRPr="007B1B13">
        <w:rPr>
          <w:rFonts w:ascii="Garamond" w:hAnsi="Garamond"/>
          <w:sz w:val="20"/>
          <w:szCs w:val="20"/>
        </w:rPr>
        <w:t xml:space="preserve"> escluso</w:t>
      </w:r>
    </w:p>
    <w:p w:rsidR="00D77B0E" w:rsidRDefault="00D77B0E" w:rsidP="00D77B0E">
      <w:pPr>
        <w:spacing w:before="360" w:after="240" w:line="360" w:lineRule="auto"/>
        <w:jc w:val="both"/>
      </w:pPr>
      <w:r w:rsidRPr="00032734">
        <w:t xml:space="preserve">Gli stanziamenti </w:t>
      </w:r>
      <w:r>
        <w:t xml:space="preserve">(iniziali) </w:t>
      </w:r>
      <w:r w:rsidRPr="00032734">
        <w:t>pro-capite relativi all’Imposta Municipale Unica risult</w:t>
      </w:r>
      <w:r>
        <w:t>ano nella provincia di Bergamo i più bassi in assoluto a livello regionale, con 201,5 euro a fronte dei circa 255 rilevati a livello regionale. Considerando il parametro della spesa a carico del cittadino, nel 2012/2011 l’incremento Imu a valere sugli stanziamenti Ici è stato del 21,6%, a fronte del 43,8% rilevato a livello regionale.</w:t>
      </w: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Pr="00031861" w:rsidRDefault="00D77B0E" w:rsidP="00D77B0E">
      <w:pPr>
        <w:rPr>
          <w:rFonts w:asciiTheme="majorHAnsi" w:hAnsiTheme="majorHAnsi"/>
          <w:b/>
          <w:sz w:val="22"/>
          <w:szCs w:val="22"/>
        </w:rPr>
      </w:pPr>
      <w:r>
        <w:rPr>
          <w:rFonts w:ascii="Garamond" w:hAnsi="Garamond"/>
          <w:b/>
          <w:sz w:val="20"/>
          <w:szCs w:val="20"/>
        </w:rPr>
        <w:lastRenderedPageBreak/>
        <w:t>Lombardia - St</w:t>
      </w:r>
      <w:r w:rsidRPr="00031861">
        <w:rPr>
          <w:rFonts w:ascii="Garamond" w:hAnsi="Garamond"/>
          <w:b/>
          <w:sz w:val="20"/>
          <w:szCs w:val="20"/>
        </w:rPr>
        <w:t>anziamenti pro-capite da Ici/Imu (*).</w:t>
      </w:r>
      <w:r>
        <w:rPr>
          <w:rFonts w:ascii="Garamond" w:hAnsi="Garamond"/>
          <w:b/>
          <w:sz w:val="20"/>
          <w:szCs w:val="20"/>
        </w:rPr>
        <w:t xml:space="preserve"> Dati medi provinciali. </w:t>
      </w:r>
      <w:r w:rsidRPr="00031861">
        <w:rPr>
          <w:rFonts w:ascii="Garamond" w:hAnsi="Garamond"/>
          <w:b/>
          <w:sz w:val="20"/>
          <w:szCs w:val="20"/>
        </w:rPr>
        <w:t xml:space="preserve">Valori </w:t>
      </w:r>
      <w:r>
        <w:rPr>
          <w:rFonts w:ascii="Garamond" w:hAnsi="Garamond"/>
          <w:b/>
          <w:sz w:val="20"/>
          <w:szCs w:val="20"/>
        </w:rPr>
        <w:t>in Euro</w:t>
      </w:r>
      <w:r w:rsidRPr="00031861">
        <w:rPr>
          <w:rFonts w:ascii="Garamond" w:hAnsi="Garamond"/>
          <w:b/>
          <w:sz w:val="20"/>
          <w:szCs w:val="20"/>
        </w:rPr>
        <w:t>.</w:t>
      </w:r>
    </w:p>
    <w:tbl>
      <w:tblPr>
        <w:tblW w:w="5300" w:type="dxa"/>
        <w:tblInd w:w="55" w:type="dxa"/>
        <w:tblCellMar>
          <w:left w:w="70" w:type="dxa"/>
          <w:right w:w="70" w:type="dxa"/>
        </w:tblCellMar>
        <w:tblLook w:val="04A0"/>
      </w:tblPr>
      <w:tblGrid>
        <w:gridCol w:w="2020"/>
        <w:gridCol w:w="820"/>
        <w:gridCol w:w="820"/>
        <w:gridCol w:w="820"/>
        <w:gridCol w:w="820"/>
      </w:tblGrid>
      <w:tr w:rsidR="00D77B0E" w:rsidRPr="001656B9"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8"/>
                <w:szCs w:val="18"/>
              </w:rPr>
            </w:pPr>
            <w:r w:rsidRPr="001656B9">
              <w:rPr>
                <w:rFonts w:ascii="Garamond" w:hAnsi="Garamond" w:cs="Calibri"/>
                <w:b/>
                <w:bCs/>
                <w:color w:val="000000"/>
                <w:sz w:val="18"/>
                <w:szCs w:val="18"/>
              </w:rPr>
              <w:t>2009</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8"/>
                <w:szCs w:val="18"/>
              </w:rPr>
            </w:pPr>
            <w:r w:rsidRPr="001656B9">
              <w:rPr>
                <w:rFonts w:ascii="Garamond" w:hAnsi="Garamond" w:cs="Calibri"/>
                <w:b/>
                <w:bCs/>
                <w:color w:val="000000"/>
                <w:sz w:val="18"/>
                <w:szCs w:val="18"/>
              </w:rPr>
              <w:t>2010</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8"/>
                <w:szCs w:val="18"/>
              </w:rPr>
            </w:pPr>
            <w:r w:rsidRPr="001656B9">
              <w:rPr>
                <w:rFonts w:ascii="Garamond" w:hAnsi="Garamond" w:cs="Calibri"/>
                <w:b/>
                <w:bCs/>
                <w:color w:val="000000"/>
                <w:sz w:val="18"/>
                <w:szCs w:val="18"/>
              </w:rPr>
              <w:t>2011</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8"/>
                <w:szCs w:val="18"/>
              </w:rPr>
            </w:pPr>
            <w:r w:rsidRPr="001656B9">
              <w:rPr>
                <w:rFonts w:ascii="Garamond" w:hAnsi="Garamond" w:cs="Calibri"/>
                <w:b/>
                <w:bCs/>
                <w:color w:val="000000"/>
                <w:sz w:val="18"/>
                <w:szCs w:val="18"/>
              </w:rPr>
              <w:t>2012</w:t>
            </w:r>
          </w:p>
        </w:tc>
      </w:tr>
      <w:tr w:rsidR="00D77B0E" w:rsidRPr="009776CE" w:rsidTr="00D73F13">
        <w:trPr>
          <w:trHeight w:val="240"/>
        </w:trPr>
        <w:tc>
          <w:tcPr>
            <w:tcW w:w="2020" w:type="dxa"/>
            <w:tcBorders>
              <w:top w:val="nil"/>
              <w:left w:val="nil"/>
              <w:bottom w:val="nil"/>
              <w:right w:val="nil"/>
            </w:tcBorders>
            <w:shd w:val="clear" w:color="auto" w:fill="auto"/>
            <w:noWrap/>
            <w:vAlign w:val="bottom"/>
            <w:hideMark/>
          </w:tcPr>
          <w:p w:rsidR="00D77B0E" w:rsidRPr="009776CE" w:rsidRDefault="00D77B0E" w:rsidP="00D73F13">
            <w:pPr>
              <w:rPr>
                <w:rFonts w:ascii="Garamond" w:hAnsi="Garamond" w:cs="Calibri"/>
                <w:b/>
                <w:color w:val="000000"/>
                <w:sz w:val="18"/>
                <w:szCs w:val="18"/>
              </w:rPr>
            </w:pPr>
            <w:r w:rsidRPr="009776CE">
              <w:rPr>
                <w:rFonts w:ascii="Garamond" w:hAnsi="Garamond" w:cs="Calibri"/>
                <w:b/>
                <w:color w:val="000000"/>
                <w:sz w:val="18"/>
                <w:szCs w:val="18"/>
              </w:rPr>
              <w:t>Bergamo</w:t>
            </w:r>
          </w:p>
        </w:tc>
        <w:tc>
          <w:tcPr>
            <w:tcW w:w="82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164,2</w:t>
            </w:r>
          </w:p>
        </w:tc>
        <w:tc>
          <w:tcPr>
            <w:tcW w:w="82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160,7</w:t>
            </w:r>
          </w:p>
        </w:tc>
        <w:tc>
          <w:tcPr>
            <w:tcW w:w="82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165,7</w:t>
            </w:r>
          </w:p>
        </w:tc>
        <w:tc>
          <w:tcPr>
            <w:tcW w:w="820" w:type="dxa"/>
            <w:tcBorders>
              <w:top w:val="nil"/>
              <w:left w:val="nil"/>
              <w:bottom w:val="nil"/>
              <w:right w:val="nil"/>
            </w:tcBorders>
            <w:shd w:val="clear" w:color="auto" w:fill="auto"/>
            <w:noWrap/>
            <w:vAlign w:val="bottom"/>
            <w:hideMark/>
          </w:tcPr>
          <w:p w:rsidR="00D77B0E" w:rsidRPr="009776CE" w:rsidRDefault="00D77B0E" w:rsidP="00D73F13">
            <w:pPr>
              <w:jc w:val="center"/>
              <w:rPr>
                <w:rFonts w:ascii="Garamond" w:hAnsi="Garamond" w:cs="Calibri"/>
                <w:b/>
                <w:color w:val="000000"/>
                <w:sz w:val="18"/>
                <w:szCs w:val="18"/>
              </w:rPr>
            </w:pPr>
            <w:r w:rsidRPr="009776CE">
              <w:rPr>
                <w:rFonts w:ascii="Garamond" w:hAnsi="Garamond" w:cs="Calibri"/>
                <w:b/>
                <w:color w:val="000000"/>
                <w:sz w:val="18"/>
                <w:szCs w:val="18"/>
              </w:rPr>
              <w:t>201,5</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Brescia</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182,1</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180,1</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181,7</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202,4</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Como</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200,7</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195,5</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198,5</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278,4</w:t>
            </w:r>
          </w:p>
        </w:tc>
      </w:tr>
      <w:tr w:rsidR="00D77B0E" w:rsidRPr="001656B9" w:rsidTr="00D73F13">
        <w:trPr>
          <w:trHeight w:val="240"/>
        </w:trPr>
        <w:tc>
          <w:tcPr>
            <w:tcW w:w="2020" w:type="dxa"/>
            <w:tcBorders>
              <w:top w:val="nil"/>
              <w:left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Cremona</w:t>
            </w:r>
          </w:p>
        </w:tc>
        <w:tc>
          <w:tcPr>
            <w:tcW w:w="820" w:type="dxa"/>
            <w:tcBorders>
              <w:top w:val="nil"/>
              <w:left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151,9</w:t>
            </w:r>
          </w:p>
        </w:tc>
        <w:tc>
          <w:tcPr>
            <w:tcW w:w="820" w:type="dxa"/>
            <w:tcBorders>
              <w:top w:val="nil"/>
              <w:left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148,4</w:t>
            </w:r>
          </w:p>
        </w:tc>
        <w:tc>
          <w:tcPr>
            <w:tcW w:w="820" w:type="dxa"/>
            <w:tcBorders>
              <w:top w:val="nil"/>
              <w:left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144,8</w:t>
            </w:r>
          </w:p>
        </w:tc>
        <w:tc>
          <w:tcPr>
            <w:tcW w:w="820" w:type="dxa"/>
            <w:tcBorders>
              <w:top w:val="nil"/>
              <w:left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219,2</w:t>
            </w:r>
          </w:p>
        </w:tc>
      </w:tr>
      <w:tr w:rsidR="00D77B0E" w:rsidRPr="009776CE" w:rsidTr="00D73F13">
        <w:trPr>
          <w:trHeight w:val="240"/>
        </w:trPr>
        <w:tc>
          <w:tcPr>
            <w:tcW w:w="2020" w:type="dxa"/>
            <w:tcBorders>
              <w:left w:val="nil"/>
              <w:right w:val="nil"/>
            </w:tcBorders>
            <w:shd w:val="clear" w:color="auto" w:fill="auto"/>
            <w:noWrap/>
            <w:vAlign w:val="bottom"/>
            <w:hideMark/>
          </w:tcPr>
          <w:p w:rsidR="00D77B0E" w:rsidRPr="009776CE" w:rsidRDefault="00D77B0E" w:rsidP="00D73F13">
            <w:pPr>
              <w:rPr>
                <w:rFonts w:ascii="Garamond" w:hAnsi="Garamond" w:cs="Calibri"/>
                <w:color w:val="000000"/>
                <w:sz w:val="18"/>
                <w:szCs w:val="18"/>
              </w:rPr>
            </w:pPr>
            <w:r w:rsidRPr="009776CE">
              <w:rPr>
                <w:rFonts w:ascii="Garamond" w:hAnsi="Garamond" w:cs="Calibri"/>
                <w:color w:val="000000"/>
                <w:sz w:val="18"/>
                <w:szCs w:val="18"/>
              </w:rPr>
              <w:t>Lecco</w:t>
            </w:r>
          </w:p>
        </w:tc>
        <w:tc>
          <w:tcPr>
            <w:tcW w:w="82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201,6</w:t>
            </w:r>
          </w:p>
        </w:tc>
        <w:tc>
          <w:tcPr>
            <w:tcW w:w="82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207,5</w:t>
            </w:r>
          </w:p>
        </w:tc>
        <w:tc>
          <w:tcPr>
            <w:tcW w:w="82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206,5</w:t>
            </w:r>
          </w:p>
        </w:tc>
        <w:tc>
          <w:tcPr>
            <w:tcW w:w="820" w:type="dxa"/>
            <w:tcBorders>
              <w:left w:val="nil"/>
              <w:right w:val="nil"/>
            </w:tcBorders>
            <w:shd w:val="clear" w:color="auto" w:fill="auto"/>
            <w:noWrap/>
            <w:vAlign w:val="bottom"/>
            <w:hideMark/>
          </w:tcPr>
          <w:p w:rsidR="00D77B0E" w:rsidRPr="009776CE" w:rsidRDefault="00D77B0E" w:rsidP="00D73F13">
            <w:pPr>
              <w:jc w:val="center"/>
              <w:rPr>
                <w:rFonts w:ascii="Garamond" w:hAnsi="Garamond" w:cs="Calibri"/>
                <w:color w:val="000000"/>
                <w:sz w:val="18"/>
                <w:szCs w:val="18"/>
              </w:rPr>
            </w:pPr>
            <w:r w:rsidRPr="009776CE">
              <w:rPr>
                <w:rFonts w:ascii="Garamond" w:hAnsi="Garamond" w:cs="Calibri"/>
                <w:color w:val="000000"/>
                <w:sz w:val="18"/>
                <w:szCs w:val="18"/>
              </w:rPr>
              <w:t>317,2</w:t>
            </w:r>
          </w:p>
        </w:tc>
      </w:tr>
      <w:tr w:rsidR="00D77B0E" w:rsidRPr="001656B9" w:rsidTr="00D73F13">
        <w:trPr>
          <w:trHeight w:val="240"/>
        </w:trPr>
        <w:tc>
          <w:tcPr>
            <w:tcW w:w="2020" w:type="dxa"/>
            <w:tcBorders>
              <w:left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142,9</w:t>
            </w:r>
          </w:p>
        </w:tc>
        <w:tc>
          <w:tcPr>
            <w:tcW w:w="820" w:type="dxa"/>
            <w:tcBorders>
              <w:left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144,8</w:t>
            </w:r>
          </w:p>
        </w:tc>
        <w:tc>
          <w:tcPr>
            <w:tcW w:w="820" w:type="dxa"/>
            <w:tcBorders>
              <w:left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150,6</w:t>
            </w:r>
          </w:p>
        </w:tc>
        <w:tc>
          <w:tcPr>
            <w:tcW w:w="820" w:type="dxa"/>
            <w:tcBorders>
              <w:left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184,6</w:t>
            </w:r>
          </w:p>
        </w:tc>
      </w:tr>
      <w:tr w:rsidR="00D77B0E" w:rsidRPr="007B1B13" w:rsidTr="00D73F13">
        <w:trPr>
          <w:trHeight w:val="240"/>
        </w:trPr>
        <w:tc>
          <w:tcPr>
            <w:tcW w:w="2020" w:type="dxa"/>
            <w:tcBorders>
              <w:left w:val="nil"/>
              <w:right w:val="nil"/>
            </w:tcBorders>
            <w:shd w:val="clear" w:color="auto" w:fill="auto"/>
            <w:noWrap/>
            <w:vAlign w:val="bottom"/>
            <w:hideMark/>
          </w:tcPr>
          <w:p w:rsidR="00D77B0E" w:rsidRPr="007B1B13" w:rsidRDefault="00D77B0E" w:rsidP="00D73F13">
            <w:pPr>
              <w:rPr>
                <w:rFonts w:ascii="Garamond" w:hAnsi="Garamond" w:cs="Calibri"/>
                <w:bCs/>
                <w:color w:val="000000"/>
                <w:sz w:val="18"/>
                <w:szCs w:val="18"/>
              </w:rPr>
            </w:pPr>
            <w:r w:rsidRPr="007B1B13">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201,1</w:t>
            </w:r>
          </w:p>
        </w:tc>
        <w:tc>
          <w:tcPr>
            <w:tcW w:w="82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198,4</w:t>
            </w:r>
          </w:p>
        </w:tc>
        <w:tc>
          <w:tcPr>
            <w:tcW w:w="82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197,1</w:t>
            </w:r>
          </w:p>
        </w:tc>
        <w:tc>
          <w:tcPr>
            <w:tcW w:w="820" w:type="dxa"/>
            <w:tcBorders>
              <w:left w:val="nil"/>
              <w:right w:val="nil"/>
            </w:tcBorders>
            <w:shd w:val="clear" w:color="auto" w:fill="auto"/>
            <w:noWrap/>
            <w:vAlign w:val="bottom"/>
            <w:hideMark/>
          </w:tcPr>
          <w:p w:rsidR="00D77B0E" w:rsidRPr="007B1B13" w:rsidRDefault="00D77B0E" w:rsidP="00D73F13">
            <w:pPr>
              <w:jc w:val="center"/>
              <w:rPr>
                <w:rFonts w:ascii="Garamond" w:hAnsi="Garamond" w:cs="Calibri"/>
                <w:bCs/>
                <w:color w:val="000000"/>
                <w:sz w:val="18"/>
                <w:szCs w:val="18"/>
              </w:rPr>
            </w:pPr>
            <w:r w:rsidRPr="007B1B13">
              <w:rPr>
                <w:rFonts w:ascii="Garamond" w:hAnsi="Garamond" w:cs="Calibri"/>
                <w:bCs/>
                <w:color w:val="000000"/>
                <w:sz w:val="18"/>
                <w:szCs w:val="18"/>
              </w:rPr>
              <w:t>255,7</w:t>
            </w:r>
          </w:p>
        </w:tc>
      </w:tr>
      <w:tr w:rsidR="00D77B0E" w:rsidRPr="001656B9" w:rsidTr="00D73F13">
        <w:trPr>
          <w:trHeight w:val="240"/>
        </w:trPr>
        <w:tc>
          <w:tcPr>
            <w:tcW w:w="2020" w:type="dxa"/>
            <w:tcBorders>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Milano</w:t>
            </w:r>
          </w:p>
        </w:tc>
        <w:tc>
          <w:tcPr>
            <w:tcW w:w="820" w:type="dxa"/>
            <w:tcBorders>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181,9</w:t>
            </w:r>
          </w:p>
        </w:tc>
        <w:tc>
          <w:tcPr>
            <w:tcW w:w="820" w:type="dxa"/>
            <w:tcBorders>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186,8</w:t>
            </w:r>
          </w:p>
        </w:tc>
        <w:tc>
          <w:tcPr>
            <w:tcW w:w="820" w:type="dxa"/>
            <w:tcBorders>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187,2</w:t>
            </w:r>
          </w:p>
        </w:tc>
        <w:tc>
          <w:tcPr>
            <w:tcW w:w="820" w:type="dxa"/>
            <w:tcBorders>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316,3</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161,7</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156,5</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157,0</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247,4</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141,1</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142,1</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143,0</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172,5</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224,3</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228,7</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237,4</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231,6</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161,1</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158,3</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159,9</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225,6</w:t>
            </w:r>
          </w:p>
        </w:tc>
      </w:tr>
      <w:tr w:rsidR="00D77B0E" w:rsidRPr="001656B9" w:rsidTr="00D73F13">
        <w:trPr>
          <w:trHeight w:val="165"/>
        </w:trPr>
        <w:tc>
          <w:tcPr>
            <w:tcW w:w="20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rPr>
                <w:rFonts w:ascii="Garamond" w:hAnsi="Garamond" w:cs="Calibri"/>
                <w:color w:val="000000"/>
                <w:sz w:val="10"/>
                <w:szCs w:val="10"/>
              </w:rPr>
            </w:pPr>
            <w:r w:rsidRPr="001656B9">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color w:val="000000"/>
                <w:sz w:val="10"/>
                <w:szCs w:val="10"/>
              </w:rPr>
            </w:pPr>
            <w:r w:rsidRPr="001656B9">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color w:val="000000"/>
                <w:sz w:val="10"/>
                <w:szCs w:val="10"/>
              </w:rPr>
            </w:pPr>
            <w:r w:rsidRPr="001656B9">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color w:val="000000"/>
                <w:sz w:val="10"/>
                <w:szCs w:val="10"/>
              </w:rPr>
            </w:pPr>
            <w:r w:rsidRPr="001656B9">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color w:val="000000"/>
                <w:sz w:val="10"/>
                <w:szCs w:val="10"/>
              </w:rPr>
            </w:pPr>
            <w:r w:rsidRPr="001656B9">
              <w:rPr>
                <w:rFonts w:ascii="Garamond" w:hAnsi="Garamond" w:cs="Calibri"/>
                <w:color w:val="000000"/>
                <w:sz w:val="10"/>
                <w:szCs w:val="10"/>
              </w:rPr>
              <w:t> </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Fino a 1.000 Abitanti</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216,6</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222,8</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230,7</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240,2</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1.001 - 3.000 Abitanti</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179,3</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178,9</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182,2</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203,9</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3.001 - 5.000 Abitanti</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170,9</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167,7</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168,8</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195,0</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5.001 - 10.000 Abitanti</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160,3</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157,1</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158,7</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196,8</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10.001 - 20.000 Abitanti</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156,1</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156,3</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158,6</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212,1</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20.001 - 50.000 Abitanti</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166,0</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163,7</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165,5</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250,6</w:t>
            </w:r>
          </w:p>
        </w:tc>
      </w:tr>
      <w:tr w:rsidR="00D77B0E" w:rsidRPr="001656B9" w:rsidTr="00D73F13">
        <w:trPr>
          <w:trHeight w:val="240"/>
        </w:trPr>
        <w:tc>
          <w:tcPr>
            <w:tcW w:w="2020" w:type="dxa"/>
            <w:tcBorders>
              <w:top w:val="nil"/>
              <w:left w:val="nil"/>
              <w:bottom w:val="nil"/>
              <w:right w:val="nil"/>
            </w:tcBorders>
            <w:shd w:val="clear" w:color="auto" w:fill="auto"/>
            <w:noWrap/>
            <w:vAlign w:val="bottom"/>
            <w:hideMark/>
          </w:tcPr>
          <w:p w:rsidR="00D77B0E" w:rsidRPr="001656B9" w:rsidRDefault="00D77B0E" w:rsidP="00D73F13">
            <w:pPr>
              <w:rPr>
                <w:rFonts w:ascii="Garamond" w:hAnsi="Garamond" w:cs="Calibri"/>
                <w:color w:val="000000"/>
                <w:sz w:val="18"/>
                <w:szCs w:val="18"/>
              </w:rPr>
            </w:pPr>
            <w:r w:rsidRPr="001656B9">
              <w:rPr>
                <w:rFonts w:ascii="Garamond" w:hAnsi="Garamond" w:cs="Calibri"/>
                <w:color w:val="000000"/>
                <w:sz w:val="18"/>
                <w:szCs w:val="18"/>
              </w:rPr>
              <w:t>Oltre 50.000 Abitanti</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204,5</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209,6</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209,0</w:t>
            </w:r>
          </w:p>
        </w:tc>
        <w:tc>
          <w:tcPr>
            <w:tcW w:w="820" w:type="dxa"/>
            <w:tcBorders>
              <w:top w:val="nil"/>
              <w:left w:val="nil"/>
              <w:bottom w:val="nil"/>
              <w:right w:val="nil"/>
            </w:tcBorders>
            <w:shd w:val="clear" w:color="auto" w:fill="auto"/>
            <w:noWrap/>
            <w:vAlign w:val="bottom"/>
            <w:hideMark/>
          </w:tcPr>
          <w:p w:rsidR="00D77B0E" w:rsidRPr="001656B9" w:rsidRDefault="00D77B0E" w:rsidP="00D73F13">
            <w:pPr>
              <w:jc w:val="center"/>
              <w:rPr>
                <w:rFonts w:ascii="Garamond" w:hAnsi="Garamond" w:cs="Calibri"/>
                <w:color w:val="000000"/>
                <w:sz w:val="18"/>
                <w:szCs w:val="18"/>
              </w:rPr>
            </w:pPr>
            <w:r w:rsidRPr="001656B9">
              <w:rPr>
                <w:rFonts w:ascii="Garamond" w:hAnsi="Garamond" w:cs="Calibri"/>
                <w:color w:val="000000"/>
                <w:sz w:val="18"/>
                <w:szCs w:val="18"/>
              </w:rPr>
              <w:t>374,3</w:t>
            </w:r>
          </w:p>
        </w:tc>
      </w:tr>
      <w:tr w:rsidR="00D77B0E" w:rsidRPr="001656B9" w:rsidTr="00D73F13">
        <w:trPr>
          <w:trHeight w:val="165"/>
        </w:trPr>
        <w:tc>
          <w:tcPr>
            <w:tcW w:w="20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rPr>
                <w:rFonts w:ascii="Garamond" w:hAnsi="Garamond" w:cs="Calibri"/>
                <w:color w:val="000000"/>
                <w:sz w:val="10"/>
                <w:szCs w:val="10"/>
              </w:rPr>
            </w:pPr>
            <w:r w:rsidRPr="001656B9">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0"/>
                <w:szCs w:val="10"/>
              </w:rPr>
            </w:pPr>
            <w:r w:rsidRPr="001656B9">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0"/>
                <w:szCs w:val="10"/>
              </w:rPr>
            </w:pPr>
            <w:r w:rsidRPr="001656B9">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0"/>
                <w:szCs w:val="10"/>
              </w:rPr>
            </w:pPr>
            <w:r w:rsidRPr="001656B9">
              <w:rPr>
                <w:rFonts w:ascii="Garamond" w:hAnsi="Garamond" w:cs="Calibri"/>
                <w:b/>
                <w:bCs/>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0"/>
                <w:szCs w:val="10"/>
              </w:rPr>
            </w:pPr>
            <w:r w:rsidRPr="001656B9">
              <w:rPr>
                <w:rFonts w:ascii="Garamond" w:hAnsi="Garamond" w:cs="Calibri"/>
                <w:b/>
                <w:bCs/>
                <w:color w:val="000000"/>
                <w:sz w:val="10"/>
                <w:szCs w:val="10"/>
              </w:rPr>
              <w:t> </w:t>
            </w:r>
          </w:p>
        </w:tc>
      </w:tr>
      <w:tr w:rsidR="00D77B0E" w:rsidRPr="001656B9" w:rsidTr="00D73F13">
        <w:trPr>
          <w:trHeight w:val="240"/>
        </w:trPr>
        <w:tc>
          <w:tcPr>
            <w:tcW w:w="2020" w:type="dxa"/>
            <w:tcBorders>
              <w:top w:val="nil"/>
              <w:left w:val="nil"/>
              <w:bottom w:val="single" w:sz="4" w:space="0" w:color="auto"/>
              <w:right w:val="nil"/>
            </w:tcBorders>
            <w:shd w:val="clear" w:color="auto" w:fill="auto"/>
            <w:noWrap/>
            <w:vAlign w:val="bottom"/>
            <w:hideMark/>
          </w:tcPr>
          <w:p w:rsidR="00D77B0E" w:rsidRPr="001656B9" w:rsidRDefault="00D77B0E" w:rsidP="00D73F13">
            <w:pPr>
              <w:rPr>
                <w:rFonts w:ascii="Garamond" w:hAnsi="Garamond" w:cs="Calibri"/>
                <w:b/>
                <w:bCs/>
                <w:color w:val="000000"/>
                <w:sz w:val="18"/>
                <w:szCs w:val="18"/>
              </w:rPr>
            </w:pPr>
            <w:r w:rsidRPr="001656B9">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8"/>
                <w:szCs w:val="18"/>
              </w:rPr>
            </w:pPr>
            <w:r w:rsidRPr="001656B9">
              <w:rPr>
                <w:rFonts w:ascii="Garamond" w:hAnsi="Garamond" w:cs="Calibri"/>
                <w:b/>
                <w:bCs/>
                <w:color w:val="000000"/>
                <w:sz w:val="18"/>
                <w:szCs w:val="18"/>
              </w:rPr>
              <w:t>175,7</w:t>
            </w:r>
          </w:p>
        </w:tc>
        <w:tc>
          <w:tcPr>
            <w:tcW w:w="820" w:type="dxa"/>
            <w:tcBorders>
              <w:top w:val="nil"/>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8"/>
                <w:szCs w:val="18"/>
              </w:rPr>
            </w:pPr>
            <w:r w:rsidRPr="001656B9">
              <w:rPr>
                <w:rFonts w:ascii="Garamond" w:hAnsi="Garamond" w:cs="Calibri"/>
                <w:b/>
                <w:bCs/>
                <w:color w:val="000000"/>
                <w:sz w:val="18"/>
                <w:szCs w:val="18"/>
              </w:rPr>
              <w:t>175,8</w:t>
            </w:r>
          </w:p>
        </w:tc>
        <w:tc>
          <w:tcPr>
            <w:tcW w:w="820" w:type="dxa"/>
            <w:tcBorders>
              <w:top w:val="nil"/>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8"/>
                <w:szCs w:val="18"/>
              </w:rPr>
            </w:pPr>
            <w:r w:rsidRPr="001656B9">
              <w:rPr>
                <w:rFonts w:ascii="Garamond" w:hAnsi="Garamond" w:cs="Calibri"/>
                <w:b/>
                <w:bCs/>
                <w:color w:val="000000"/>
                <w:sz w:val="18"/>
                <w:szCs w:val="18"/>
              </w:rPr>
              <w:t>177,2</w:t>
            </w:r>
          </w:p>
        </w:tc>
        <w:tc>
          <w:tcPr>
            <w:tcW w:w="820" w:type="dxa"/>
            <w:tcBorders>
              <w:top w:val="nil"/>
              <w:left w:val="nil"/>
              <w:bottom w:val="single" w:sz="4" w:space="0" w:color="auto"/>
              <w:right w:val="nil"/>
            </w:tcBorders>
            <w:shd w:val="clear" w:color="auto" w:fill="auto"/>
            <w:noWrap/>
            <w:vAlign w:val="bottom"/>
            <w:hideMark/>
          </w:tcPr>
          <w:p w:rsidR="00D77B0E" w:rsidRPr="001656B9" w:rsidRDefault="00D77B0E" w:rsidP="00D73F13">
            <w:pPr>
              <w:jc w:val="center"/>
              <w:rPr>
                <w:rFonts w:ascii="Garamond" w:hAnsi="Garamond" w:cs="Calibri"/>
                <w:b/>
                <w:bCs/>
                <w:color w:val="000000"/>
                <w:sz w:val="18"/>
                <w:szCs w:val="18"/>
              </w:rPr>
            </w:pPr>
            <w:r w:rsidRPr="001656B9">
              <w:rPr>
                <w:rFonts w:ascii="Garamond" w:hAnsi="Garamond" w:cs="Calibri"/>
                <w:b/>
                <w:bCs/>
                <w:color w:val="000000"/>
                <w:sz w:val="18"/>
                <w:szCs w:val="18"/>
              </w:rPr>
              <w:t>254,9</w:t>
            </w:r>
          </w:p>
        </w:tc>
      </w:tr>
    </w:tbl>
    <w:p w:rsidR="00D77B0E" w:rsidRPr="001C4C08" w:rsidRDefault="00D77B0E" w:rsidP="00D77B0E">
      <w:pPr>
        <w:rPr>
          <w:rFonts w:ascii="Cambria" w:hAnsi="Cambria" w:cs="Verdana"/>
          <w:i/>
          <w:sz w:val="18"/>
          <w:szCs w:val="18"/>
        </w:rPr>
      </w:pPr>
      <w:r w:rsidRPr="001C4C08">
        <w:rPr>
          <w:rFonts w:ascii="Cambria" w:hAnsi="Cambria" w:cs="Verdana"/>
          <w:i/>
          <w:sz w:val="18"/>
          <w:szCs w:val="18"/>
        </w:rPr>
        <w:t xml:space="preserve">Fonte: Elaborazioni su dati del Ministero dell’Interno – </w:t>
      </w:r>
      <w:r>
        <w:rPr>
          <w:rFonts w:ascii="Cambria" w:hAnsi="Cambria" w:cs="Verdana"/>
          <w:i/>
          <w:sz w:val="18"/>
          <w:szCs w:val="18"/>
        </w:rPr>
        <w:t>bilanci di previsione dei comuni</w:t>
      </w:r>
    </w:p>
    <w:p w:rsidR="00D77B0E" w:rsidRPr="001C4C08" w:rsidRDefault="00D77B0E" w:rsidP="00D77B0E">
      <w:pPr>
        <w:rPr>
          <w:rFonts w:ascii="Cambria" w:hAnsi="Cambria" w:cs="Verdana"/>
          <w:i/>
          <w:sz w:val="18"/>
          <w:szCs w:val="18"/>
        </w:rPr>
      </w:pPr>
      <w:r w:rsidRPr="001C4C08">
        <w:rPr>
          <w:rFonts w:ascii="Cambria" w:hAnsi="Cambria" w:cs="Verdana"/>
          <w:i/>
          <w:sz w:val="18"/>
          <w:szCs w:val="18"/>
        </w:rPr>
        <w:t>(*) per il 2012 si è considerato l’Imu in sostituzione dell’Ici.</w:t>
      </w:r>
    </w:p>
    <w:p w:rsidR="00D77B0E" w:rsidRDefault="00D77B0E" w:rsidP="00D77B0E">
      <w:pPr>
        <w:rPr>
          <w:rFonts w:asciiTheme="majorHAnsi" w:hAnsiTheme="majorHAnsi"/>
          <w:b/>
          <w:sz w:val="22"/>
          <w:szCs w:val="22"/>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r>
        <w:rPr>
          <w:rFonts w:ascii="Garamond" w:hAnsi="Garamond"/>
          <w:b/>
          <w:sz w:val="20"/>
          <w:szCs w:val="20"/>
        </w:rPr>
        <w:t>Provincia di Bergamo - S</w:t>
      </w:r>
      <w:r w:rsidRPr="00031861">
        <w:rPr>
          <w:rFonts w:ascii="Garamond" w:hAnsi="Garamond"/>
          <w:b/>
          <w:sz w:val="20"/>
          <w:szCs w:val="20"/>
        </w:rPr>
        <w:t>tanziamenti pro-capite da Ici/Imu (*).</w:t>
      </w:r>
      <w:r>
        <w:rPr>
          <w:rFonts w:ascii="Garamond" w:hAnsi="Garamond"/>
          <w:b/>
          <w:sz w:val="20"/>
          <w:szCs w:val="20"/>
        </w:rPr>
        <w:t xml:space="preserve"> Dati medi per dimensione demografica dei comuni. </w:t>
      </w:r>
      <w:r w:rsidRPr="00031861">
        <w:rPr>
          <w:rFonts w:ascii="Garamond" w:hAnsi="Garamond"/>
          <w:b/>
          <w:sz w:val="20"/>
          <w:szCs w:val="20"/>
        </w:rPr>
        <w:t xml:space="preserve">Valori </w:t>
      </w:r>
      <w:r>
        <w:rPr>
          <w:rFonts w:ascii="Garamond" w:hAnsi="Garamond"/>
          <w:b/>
          <w:sz w:val="20"/>
          <w:szCs w:val="20"/>
        </w:rPr>
        <w:t>in Euro</w:t>
      </w:r>
      <w:r w:rsidRPr="00031861">
        <w:rPr>
          <w:rFonts w:ascii="Garamond" w:hAnsi="Garamond"/>
          <w:b/>
          <w:sz w:val="20"/>
          <w:szCs w:val="20"/>
        </w:rPr>
        <w:t>.</w:t>
      </w:r>
    </w:p>
    <w:tbl>
      <w:tblPr>
        <w:tblW w:w="4880" w:type="dxa"/>
        <w:tblInd w:w="55" w:type="dxa"/>
        <w:tblCellMar>
          <w:left w:w="70" w:type="dxa"/>
          <w:right w:w="70" w:type="dxa"/>
        </w:tblCellMar>
        <w:tblLook w:val="04A0"/>
      </w:tblPr>
      <w:tblGrid>
        <w:gridCol w:w="2020"/>
        <w:gridCol w:w="700"/>
        <w:gridCol w:w="700"/>
        <w:gridCol w:w="700"/>
        <w:gridCol w:w="760"/>
      </w:tblGrid>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2009</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2010</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2012</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Fino a 3.000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194,5</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196,4</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203,8</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219,7</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3.001 - 5.000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162,4</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161,7</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166,8</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185,0</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5.001 - 10.000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152,3</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144,4</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149,9</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191,9</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10.001 – 20.000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144,4</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142,0</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143,2</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177,1</w:t>
            </w:r>
          </w:p>
        </w:tc>
      </w:tr>
      <w:tr w:rsidR="00D77B0E" w:rsidRPr="004E328C" w:rsidTr="00D73F13">
        <w:trPr>
          <w:trHeight w:val="240"/>
        </w:trPr>
        <w:tc>
          <w:tcPr>
            <w:tcW w:w="2020" w:type="dxa"/>
            <w:tcBorders>
              <w:top w:val="nil"/>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Oltre 20.000 Abitanti (*)</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155,8</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159,6</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161,0</w:t>
            </w:r>
          </w:p>
        </w:tc>
        <w:tc>
          <w:tcPr>
            <w:tcW w:w="76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Pr>
                <w:rFonts w:ascii="Garamond" w:hAnsi="Garamond" w:cs="Calibri"/>
                <w:color w:val="000000"/>
                <w:sz w:val="18"/>
                <w:szCs w:val="18"/>
              </w:rPr>
              <w:t>n.d.</w:t>
            </w:r>
          </w:p>
        </w:tc>
      </w:tr>
      <w:tr w:rsidR="00D77B0E" w:rsidRPr="004E328C" w:rsidTr="00D73F13">
        <w:trPr>
          <w:trHeight w:val="7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Comune di Bergamo</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203,1</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197,4</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204,9</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367,6</w:t>
            </w:r>
          </w:p>
        </w:tc>
      </w:tr>
      <w:tr w:rsidR="00D77B0E" w:rsidRPr="004E328C" w:rsidTr="00D73F13">
        <w:trPr>
          <w:trHeight w:val="84"/>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Provincia di Bergamo</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164,2</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160,7</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165,7</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201,5</w:t>
            </w:r>
          </w:p>
        </w:tc>
      </w:tr>
      <w:tr w:rsidR="00D77B0E" w:rsidRPr="004E328C" w:rsidTr="00D73F13">
        <w:trPr>
          <w:trHeight w:val="7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b/>
                <w:bCs/>
                <w:color w:val="000000"/>
                <w:sz w:val="18"/>
                <w:szCs w:val="18"/>
              </w:rPr>
            </w:pPr>
            <w:r w:rsidRPr="004E328C">
              <w:rPr>
                <w:rFonts w:ascii="Garamond" w:hAnsi="Garamond" w:cs="Calibri"/>
                <w:b/>
                <w:bCs/>
                <w:color w:val="000000"/>
                <w:sz w:val="18"/>
                <w:szCs w:val="18"/>
              </w:rPr>
              <w:t>Lombardia</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175,7</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175,8</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177,2</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254,9</w:t>
            </w:r>
          </w:p>
        </w:tc>
      </w:tr>
    </w:tbl>
    <w:p w:rsidR="00D77B0E" w:rsidRPr="007B1B13" w:rsidRDefault="00D77B0E" w:rsidP="00D77B0E">
      <w:pPr>
        <w:rPr>
          <w:rFonts w:asciiTheme="majorHAnsi" w:hAnsiTheme="majorHAnsi" w:cs="Verdana"/>
          <w:i/>
          <w:sz w:val="18"/>
          <w:szCs w:val="18"/>
        </w:rPr>
      </w:pPr>
      <w:r w:rsidRPr="007B1B13">
        <w:rPr>
          <w:rFonts w:asciiTheme="majorHAnsi" w:hAnsiTheme="majorHAnsi" w:cs="Verdana"/>
          <w:i/>
          <w:sz w:val="18"/>
          <w:szCs w:val="18"/>
        </w:rPr>
        <w:t>Fonte: Elaborazioni su dati del Ministero dell’Interno – bilanci di previsione dei comuni</w:t>
      </w:r>
    </w:p>
    <w:p w:rsidR="00D77B0E" w:rsidRPr="007B1B13" w:rsidRDefault="00D77B0E" w:rsidP="00D77B0E">
      <w:pPr>
        <w:rPr>
          <w:rFonts w:ascii="Garamond" w:hAnsi="Garamond"/>
          <w:sz w:val="20"/>
          <w:szCs w:val="20"/>
        </w:rPr>
      </w:pPr>
      <w:r>
        <w:rPr>
          <w:rFonts w:ascii="Garamond" w:hAnsi="Garamond"/>
          <w:sz w:val="20"/>
          <w:szCs w:val="20"/>
        </w:rPr>
        <w:t>(1</w:t>
      </w:r>
      <w:r w:rsidRPr="007B1B13">
        <w:rPr>
          <w:rFonts w:ascii="Garamond" w:hAnsi="Garamond"/>
          <w:sz w:val="20"/>
          <w:szCs w:val="20"/>
        </w:rPr>
        <w:t xml:space="preserve">) comune di </w:t>
      </w:r>
      <w:r>
        <w:rPr>
          <w:rFonts w:ascii="Garamond" w:hAnsi="Garamond"/>
          <w:sz w:val="20"/>
          <w:szCs w:val="20"/>
        </w:rPr>
        <w:t>Bergamo</w:t>
      </w:r>
      <w:r w:rsidRPr="007B1B13">
        <w:rPr>
          <w:rFonts w:ascii="Garamond" w:hAnsi="Garamond"/>
          <w:sz w:val="20"/>
          <w:szCs w:val="20"/>
        </w:rPr>
        <w:t xml:space="preserve"> escluso</w:t>
      </w:r>
    </w:p>
    <w:p w:rsidR="00D77B0E" w:rsidRPr="007B1B13" w:rsidRDefault="00D77B0E" w:rsidP="00D77B0E">
      <w:pPr>
        <w:rPr>
          <w:rFonts w:asciiTheme="majorHAnsi" w:hAnsiTheme="majorHAnsi" w:cs="Verdana"/>
          <w:i/>
          <w:sz w:val="18"/>
          <w:szCs w:val="18"/>
        </w:rPr>
      </w:pPr>
      <w:r w:rsidRPr="007B1B13">
        <w:rPr>
          <w:rFonts w:asciiTheme="majorHAnsi" w:hAnsiTheme="majorHAnsi" w:cs="Verdana"/>
          <w:i/>
          <w:sz w:val="18"/>
          <w:szCs w:val="18"/>
        </w:rPr>
        <w:t xml:space="preserve"> (*) per il 2012 si è considerato l’Imu in sostituzione dell’Ici.</w:t>
      </w:r>
    </w:p>
    <w:p w:rsidR="00D77B0E" w:rsidRDefault="00D77B0E" w:rsidP="00D77B0E">
      <w:pPr>
        <w:rPr>
          <w:rFonts w:asciiTheme="majorHAnsi" w:hAnsiTheme="majorHAnsi"/>
          <w:b/>
          <w:sz w:val="22"/>
          <w:szCs w:val="22"/>
        </w:rPr>
      </w:pPr>
    </w:p>
    <w:p w:rsidR="00D77B0E" w:rsidRDefault="00D77B0E" w:rsidP="00D77B0E">
      <w:pPr>
        <w:spacing w:before="360" w:after="240" w:line="360" w:lineRule="auto"/>
        <w:jc w:val="both"/>
      </w:pPr>
      <w:r w:rsidRPr="00032734">
        <w:t>Nonostante l’ennesimo taglio dei trasferimenti erariali, le Entrate Correnti (somma delle entrate tributarie, extratributarie e dei trasferimenti) dei comuni de</w:t>
      </w:r>
      <w:r>
        <w:t xml:space="preserve">lla provincia di Bergamo </w:t>
      </w:r>
      <w:r w:rsidRPr="00032734">
        <w:t xml:space="preserve">crescono </w:t>
      </w:r>
      <w:r>
        <w:t xml:space="preserve">dell’1,7% </w:t>
      </w:r>
      <w:r w:rsidRPr="00032734">
        <w:t>nell’ultimo biennio considerato</w:t>
      </w:r>
      <w:r>
        <w:t>, a fronte della diminuzione dello 0,9% della spesa corrente per la spesa dei servizi sociali in senso stretto</w:t>
      </w:r>
      <w:r w:rsidRPr="00032734">
        <w:t>.</w:t>
      </w: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r>
        <w:rPr>
          <w:rFonts w:ascii="Garamond" w:hAnsi="Garamond"/>
          <w:b/>
          <w:sz w:val="20"/>
          <w:szCs w:val="20"/>
        </w:rPr>
        <w:t>Provincia di Bergamo</w:t>
      </w:r>
      <w:r w:rsidRPr="00031861">
        <w:rPr>
          <w:rFonts w:ascii="Garamond" w:hAnsi="Garamond"/>
          <w:b/>
          <w:sz w:val="20"/>
          <w:szCs w:val="20"/>
        </w:rPr>
        <w:t>, variazione tendenziale della spesa sociale pro-capite dei comuni al confronto con l’andamento di alcune significative voci di entrata (gettito pro-capite). Valori %.</w:t>
      </w:r>
    </w:p>
    <w:p w:rsidR="00D77B0E" w:rsidRDefault="00D77B0E" w:rsidP="00D77B0E">
      <w:pPr>
        <w:rPr>
          <w:rFonts w:ascii="Garamond" w:hAnsi="Garamond"/>
          <w:b/>
          <w:sz w:val="20"/>
          <w:szCs w:val="20"/>
        </w:rPr>
      </w:pPr>
      <w:r>
        <w:rPr>
          <w:rFonts w:ascii="Garamond" w:hAnsi="Garamond"/>
          <w:b/>
          <w:noProof/>
          <w:sz w:val="20"/>
          <w:szCs w:val="20"/>
        </w:rPr>
        <w:lastRenderedPageBreak/>
        <w:drawing>
          <wp:inline distT="0" distB="0" distL="0" distR="0">
            <wp:extent cx="4787656" cy="2880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7656" cy="2880000"/>
                    </a:xfrm>
                    <a:prstGeom prst="rect">
                      <a:avLst/>
                    </a:prstGeom>
                    <a:noFill/>
                  </pic:spPr>
                </pic:pic>
              </a:graphicData>
            </a:graphic>
          </wp:inline>
        </w:drawing>
      </w:r>
    </w:p>
    <w:p w:rsidR="00D77B0E" w:rsidRDefault="00D77B0E" w:rsidP="00D77B0E">
      <w:pPr>
        <w:rPr>
          <w:rFonts w:ascii="Cambria" w:hAnsi="Cambria" w:cs="Verdana"/>
          <w:i/>
          <w:sz w:val="18"/>
          <w:szCs w:val="18"/>
        </w:rPr>
      </w:pPr>
      <w:r w:rsidRPr="00E30D92">
        <w:rPr>
          <w:rFonts w:ascii="Cambria" w:hAnsi="Cambria" w:cs="Verdana"/>
          <w:i/>
          <w:sz w:val="18"/>
          <w:szCs w:val="18"/>
        </w:rPr>
        <w:t>Fonte: Elaborazioni su dati del Ministero dell’Interno – bilanci di previsione</w:t>
      </w:r>
    </w:p>
    <w:p w:rsidR="00D77B0E" w:rsidRDefault="00D77B0E" w:rsidP="00D77B0E">
      <w:pPr>
        <w:spacing w:line="360" w:lineRule="auto"/>
        <w:jc w:val="both"/>
      </w:pPr>
    </w:p>
    <w:p w:rsidR="00D77B0E" w:rsidRPr="00032734" w:rsidRDefault="00D77B0E" w:rsidP="00D77B0E">
      <w:pPr>
        <w:spacing w:line="360" w:lineRule="auto"/>
        <w:jc w:val="both"/>
      </w:pPr>
      <w:r>
        <w:t xml:space="preserve">Non sembra dunque sussistere </w:t>
      </w:r>
      <w:r w:rsidRPr="00032734">
        <w:t>corrispondenza tra l’aumento delle risorse a disposizione dei comuni (in buona parte determinate dall’inasprimento della leva fiscale) e</w:t>
      </w:r>
      <w:r>
        <w:t xml:space="preserve"> il </w:t>
      </w:r>
      <w:r w:rsidRPr="00032734">
        <w:t xml:space="preserve">potenziamento dei servizi e delle funzioni in ambito sociale. </w:t>
      </w:r>
    </w:p>
    <w:p w:rsidR="00D77B0E" w:rsidRDefault="00D77B0E" w:rsidP="00D77B0E">
      <w:pPr>
        <w:spacing w:after="240" w:line="360" w:lineRule="auto"/>
        <w:jc w:val="both"/>
      </w:pPr>
      <w:r w:rsidRPr="00032734">
        <w:t xml:space="preserve">Gli stanziamenti </w:t>
      </w:r>
      <w:r>
        <w:t xml:space="preserve">iniziali </w:t>
      </w:r>
      <w:r w:rsidRPr="00032734">
        <w:t xml:space="preserve">previsti per </w:t>
      </w:r>
      <w:r>
        <w:t>la spesa sociale</w:t>
      </w:r>
      <w:r w:rsidRPr="00032734">
        <w:t xml:space="preserve">, infatti, risultano nei bilanci di previsione 2012 pari mediamente nella provincia di </w:t>
      </w:r>
      <w:r>
        <w:t>Bergamo</w:t>
      </w:r>
      <w:r w:rsidRPr="00032734">
        <w:t xml:space="preserve"> a 1</w:t>
      </w:r>
      <w:r>
        <w:t>14</w:t>
      </w:r>
      <w:r w:rsidRPr="00032734">
        <w:t xml:space="preserve"> euro, una cifra </w:t>
      </w:r>
      <w:r>
        <w:t>tra le più basse in assoluto (subito dopo la provincia di Sondrio).</w:t>
      </w:r>
    </w:p>
    <w:p w:rsidR="00D77B0E" w:rsidRDefault="00D77B0E" w:rsidP="00D77B0E">
      <w:pPr>
        <w:rPr>
          <w:rFonts w:ascii="Garamond" w:hAnsi="Garamond"/>
          <w:b/>
          <w:sz w:val="20"/>
          <w:szCs w:val="20"/>
        </w:rPr>
      </w:pPr>
      <w:r>
        <w:rPr>
          <w:rFonts w:ascii="Garamond" w:hAnsi="Garamond"/>
          <w:b/>
          <w:sz w:val="20"/>
          <w:szCs w:val="20"/>
        </w:rPr>
        <w:t>Lombardia - Spesa per il Sociale</w:t>
      </w:r>
      <w:r w:rsidRPr="00BA34FF">
        <w:rPr>
          <w:rFonts w:ascii="Garamond" w:hAnsi="Garamond"/>
          <w:b/>
          <w:sz w:val="20"/>
          <w:szCs w:val="20"/>
        </w:rPr>
        <w:t>.</w:t>
      </w:r>
      <w:r>
        <w:rPr>
          <w:rFonts w:ascii="Garamond" w:hAnsi="Garamond"/>
          <w:b/>
          <w:sz w:val="20"/>
          <w:szCs w:val="20"/>
        </w:rPr>
        <w:t xml:space="preserve">  Stanziamenti pro-capite. Serie storica e variazioni interannuali. Dati medi provinciali. </w:t>
      </w:r>
      <w:r w:rsidRPr="00031861">
        <w:rPr>
          <w:rFonts w:ascii="Garamond" w:hAnsi="Garamond"/>
          <w:b/>
          <w:sz w:val="20"/>
          <w:szCs w:val="20"/>
        </w:rPr>
        <w:t xml:space="preserve">Valori </w:t>
      </w:r>
      <w:r>
        <w:rPr>
          <w:rFonts w:ascii="Garamond" w:hAnsi="Garamond"/>
          <w:b/>
          <w:sz w:val="20"/>
          <w:szCs w:val="20"/>
        </w:rPr>
        <w:t xml:space="preserve">in euro e </w:t>
      </w:r>
      <w:r w:rsidRPr="00031861">
        <w:rPr>
          <w:rFonts w:ascii="Garamond" w:hAnsi="Garamond"/>
          <w:b/>
          <w:sz w:val="20"/>
          <w:szCs w:val="20"/>
        </w:rPr>
        <w:t>%.</w:t>
      </w:r>
    </w:p>
    <w:tbl>
      <w:tblPr>
        <w:tblW w:w="8920" w:type="dxa"/>
        <w:tblInd w:w="55" w:type="dxa"/>
        <w:tblCellMar>
          <w:left w:w="70" w:type="dxa"/>
          <w:right w:w="70" w:type="dxa"/>
        </w:tblCellMar>
        <w:tblLook w:val="04A0"/>
      </w:tblPr>
      <w:tblGrid>
        <w:gridCol w:w="2020"/>
        <w:gridCol w:w="820"/>
        <w:gridCol w:w="820"/>
        <w:gridCol w:w="820"/>
        <w:gridCol w:w="820"/>
        <w:gridCol w:w="820"/>
        <w:gridCol w:w="700"/>
        <w:gridCol w:w="700"/>
        <w:gridCol w:w="700"/>
        <w:gridCol w:w="700"/>
      </w:tblGrid>
      <w:tr w:rsidR="00D77B0E" w:rsidRPr="00BA34FF" w:rsidTr="00D73F13">
        <w:trPr>
          <w:trHeight w:val="24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 </w:t>
            </w:r>
          </w:p>
        </w:tc>
        <w:tc>
          <w:tcPr>
            <w:tcW w:w="6900" w:type="dxa"/>
            <w:gridSpan w:val="9"/>
            <w:tcBorders>
              <w:top w:val="single" w:sz="4" w:space="0" w:color="auto"/>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Spesa corrente pro-capite per il Sociale</w:t>
            </w:r>
          </w:p>
        </w:tc>
      </w:tr>
      <w:tr w:rsidR="00D77B0E" w:rsidRPr="00BA34FF" w:rsidTr="00D73F13">
        <w:trPr>
          <w:trHeight w:val="421"/>
        </w:trPr>
        <w:tc>
          <w:tcPr>
            <w:tcW w:w="2020" w:type="dxa"/>
            <w:vMerge/>
            <w:tcBorders>
              <w:top w:val="single" w:sz="4" w:space="0" w:color="auto"/>
              <w:left w:val="nil"/>
              <w:bottom w:val="single" w:sz="4" w:space="0" w:color="000000"/>
              <w:right w:val="nil"/>
            </w:tcBorders>
            <w:vAlign w:val="center"/>
            <w:hideMark/>
          </w:tcPr>
          <w:p w:rsidR="00D77B0E" w:rsidRPr="00BA34FF" w:rsidRDefault="00D77B0E" w:rsidP="00D73F13">
            <w:pPr>
              <w:rPr>
                <w:rFonts w:ascii="Garamond" w:hAnsi="Garamond" w:cs="Calibri"/>
                <w:color w:val="000000"/>
                <w:sz w:val="18"/>
                <w:szCs w:val="18"/>
              </w:rPr>
            </w:pP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2008</w:t>
            </w: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2009</w:t>
            </w: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2010</w:t>
            </w: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2011</w:t>
            </w: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2012</w:t>
            </w:r>
          </w:p>
        </w:tc>
        <w:tc>
          <w:tcPr>
            <w:tcW w:w="70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6"/>
                <w:szCs w:val="16"/>
              </w:rPr>
            </w:pPr>
            <w:r w:rsidRPr="00BA34FF">
              <w:rPr>
                <w:rFonts w:ascii="Garamond" w:hAnsi="Garamond" w:cs="Calibri"/>
                <w:b/>
                <w:bCs/>
                <w:sz w:val="16"/>
                <w:szCs w:val="16"/>
              </w:rPr>
              <w:t>Var. 08/10</w:t>
            </w:r>
          </w:p>
        </w:tc>
        <w:tc>
          <w:tcPr>
            <w:tcW w:w="70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6"/>
                <w:szCs w:val="16"/>
              </w:rPr>
            </w:pPr>
            <w:r w:rsidRPr="00BA34FF">
              <w:rPr>
                <w:rFonts w:ascii="Garamond" w:hAnsi="Garamond" w:cs="Calibri"/>
                <w:b/>
                <w:bCs/>
                <w:sz w:val="16"/>
                <w:szCs w:val="16"/>
              </w:rPr>
              <w:t>Var. 10/12</w:t>
            </w:r>
          </w:p>
        </w:tc>
        <w:tc>
          <w:tcPr>
            <w:tcW w:w="70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6"/>
                <w:szCs w:val="16"/>
              </w:rPr>
            </w:pPr>
            <w:r w:rsidRPr="00BA34FF">
              <w:rPr>
                <w:rFonts w:ascii="Garamond" w:hAnsi="Garamond" w:cs="Calibri"/>
                <w:b/>
                <w:bCs/>
                <w:sz w:val="16"/>
                <w:szCs w:val="16"/>
              </w:rPr>
              <w:t>Var. 11/12</w:t>
            </w:r>
          </w:p>
        </w:tc>
        <w:tc>
          <w:tcPr>
            <w:tcW w:w="70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6"/>
                <w:szCs w:val="16"/>
              </w:rPr>
            </w:pPr>
            <w:r w:rsidRPr="00BA34FF">
              <w:rPr>
                <w:rFonts w:ascii="Garamond" w:hAnsi="Garamond" w:cs="Calibri"/>
                <w:b/>
                <w:bCs/>
                <w:sz w:val="16"/>
                <w:szCs w:val="16"/>
              </w:rPr>
              <w:t>Var. 08/12</w:t>
            </w:r>
          </w:p>
        </w:tc>
      </w:tr>
      <w:tr w:rsidR="00D77B0E" w:rsidRPr="00DD03E7" w:rsidTr="00D73F13">
        <w:trPr>
          <w:trHeight w:val="240"/>
        </w:trPr>
        <w:tc>
          <w:tcPr>
            <w:tcW w:w="2020" w:type="dxa"/>
            <w:tcBorders>
              <w:top w:val="nil"/>
              <w:left w:val="nil"/>
              <w:bottom w:val="nil"/>
              <w:right w:val="nil"/>
            </w:tcBorders>
            <w:shd w:val="clear" w:color="auto" w:fill="auto"/>
            <w:vAlign w:val="center"/>
            <w:hideMark/>
          </w:tcPr>
          <w:p w:rsidR="00D77B0E" w:rsidRPr="00DD03E7" w:rsidRDefault="00D77B0E" w:rsidP="00D73F13">
            <w:pPr>
              <w:rPr>
                <w:rFonts w:ascii="Garamond" w:hAnsi="Garamond" w:cs="Calibri"/>
                <w:b/>
                <w:color w:val="000000"/>
                <w:sz w:val="18"/>
                <w:szCs w:val="18"/>
              </w:rPr>
            </w:pPr>
            <w:r w:rsidRPr="00DD03E7">
              <w:rPr>
                <w:rFonts w:ascii="Garamond" w:hAnsi="Garamond" w:cs="Calibri"/>
                <w:b/>
                <w:color w:val="000000"/>
                <w:sz w:val="18"/>
                <w:szCs w:val="18"/>
              </w:rPr>
              <w:t>Bergamo</w:t>
            </w:r>
          </w:p>
        </w:tc>
        <w:tc>
          <w:tcPr>
            <w:tcW w:w="820" w:type="dxa"/>
            <w:tcBorders>
              <w:top w:val="nil"/>
              <w:left w:val="nil"/>
              <w:bottom w:val="nil"/>
              <w:right w:val="nil"/>
            </w:tcBorders>
            <w:shd w:val="clear" w:color="auto" w:fill="auto"/>
            <w:noWrap/>
            <w:vAlign w:val="center"/>
            <w:hideMark/>
          </w:tcPr>
          <w:p w:rsidR="00D77B0E" w:rsidRPr="00DD03E7" w:rsidRDefault="00D77B0E" w:rsidP="00D73F13">
            <w:pPr>
              <w:jc w:val="center"/>
              <w:rPr>
                <w:rFonts w:ascii="Garamond" w:hAnsi="Garamond" w:cs="Calibri"/>
                <w:b/>
                <w:sz w:val="18"/>
                <w:szCs w:val="18"/>
              </w:rPr>
            </w:pPr>
            <w:r w:rsidRPr="00DD03E7">
              <w:rPr>
                <w:rFonts w:ascii="Garamond" w:hAnsi="Garamond" w:cs="Calibri"/>
                <w:b/>
                <w:sz w:val="18"/>
                <w:szCs w:val="18"/>
              </w:rPr>
              <w:t>114,3</w:t>
            </w:r>
          </w:p>
        </w:tc>
        <w:tc>
          <w:tcPr>
            <w:tcW w:w="820" w:type="dxa"/>
            <w:tcBorders>
              <w:top w:val="nil"/>
              <w:left w:val="nil"/>
              <w:bottom w:val="nil"/>
              <w:right w:val="nil"/>
            </w:tcBorders>
            <w:shd w:val="clear" w:color="auto" w:fill="auto"/>
            <w:noWrap/>
            <w:vAlign w:val="center"/>
            <w:hideMark/>
          </w:tcPr>
          <w:p w:rsidR="00D77B0E" w:rsidRPr="00DD03E7" w:rsidRDefault="00D77B0E" w:rsidP="00D73F13">
            <w:pPr>
              <w:jc w:val="center"/>
              <w:rPr>
                <w:rFonts w:ascii="Garamond" w:hAnsi="Garamond" w:cs="Calibri"/>
                <w:b/>
                <w:sz w:val="18"/>
                <w:szCs w:val="18"/>
              </w:rPr>
            </w:pPr>
            <w:r w:rsidRPr="00DD03E7">
              <w:rPr>
                <w:rFonts w:ascii="Garamond" w:hAnsi="Garamond" w:cs="Calibri"/>
                <w:b/>
                <w:sz w:val="18"/>
                <w:szCs w:val="18"/>
              </w:rPr>
              <w:t>118,6</w:t>
            </w:r>
          </w:p>
        </w:tc>
        <w:tc>
          <w:tcPr>
            <w:tcW w:w="820" w:type="dxa"/>
            <w:tcBorders>
              <w:top w:val="nil"/>
              <w:left w:val="nil"/>
              <w:bottom w:val="nil"/>
              <w:right w:val="nil"/>
            </w:tcBorders>
            <w:shd w:val="clear" w:color="auto" w:fill="auto"/>
            <w:noWrap/>
            <w:vAlign w:val="center"/>
            <w:hideMark/>
          </w:tcPr>
          <w:p w:rsidR="00D77B0E" w:rsidRPr="00DD03E7" w:rsidRDefault="00D77B0E" w:rsidP="00D73F13">
            <w:pPr>
              <w:jc w:val="center"/>
              <w:rPr>
                <w:rFonts w:ascii="Garamond" w:hAnsi="Garamond" w:cs="Calibri"/>
                <w:b/>
                <w:sz w:val="18"/>
                <w:szCs w:val="18"/>
              </w:rPr>
            </w:pPr>
            <w:r w:rsidRPr="00DD03E7">
              <w:rPr>
                <w:rFonts w:ascii="Garamond" w:hAnsi="Garamond" w:cs="Calibri"/>
                <w:b/>
                <w:sz w:val="18"/>
                <w:szCs w:val="18"/>
              </w:rPr>
              <w:t>115,9</w:t>
            </w:r>
          </w:p>
        </w:tc>
        <w:tc>
          <w:tcPr>
            <w:tcW w:w="820" w:type="dxa"/>
            <w:tcBorders>
              <w:top w:val="nil"/>
              <w:left w:val="nil"/>
              <w:bottom w:val="nil"/>
              <w:right w:val="nil"/>
            </w:tcBorders>
            <w:shd w:val="clear" w:color="auto" w:fill="auto"/>
            <w:noWrap/>
            <w:vAlign w:val="center"/>
            <w:hideMark/>
          </w:tcPr>
          <w:p w:rsidR="00D77B0E" w:rsidRPr="00DD03E7" w:rsidRDefault="00D77B0E" w:rsidP="00D73F13">
            <w:pPr>
              <w:jc w:val="center"/>
              <w:rPr>
                <w:rFonts w:ascii="Garamond" w:hAnsi="Garamond" w:cs="Calibri"/>
                <w:b/>
                <w:sz w:val="18"/>
                <w:szCs w:val="18"/>
              </w:rPr>
            </w:pPr>
            <w:r w:rsidRPr="00DD03E7">
              <w:rPr>
                <w:rFonts w:ascii="Garamond" w:hAnsi="Garamond" w:cs="Calibri"/>
                <w:b/>
                <w:sz w:val="18"/>
                <w:szCs w:val="18"/>
              </w:rPr>
              <w:t>115,0</w:t>
            </w:r>
          </w:p>
        </w:tc>
        <w:tc>
          <w:tcPr>
            <w:tcW w:w="820" w:type="dxa"/>
            <w:tcBorders>
              <w:top w:val="nil"/>
              <w:left w:val="nil"/>
              <w:bottom w:val="nil"/>
              <w:right w:val="nil"/>
            </w:tcBorders>
            <w:shd w:val="clear" w:color="auto" w:fill="auto"/>
            <w:noWrap/>
            <w:vAlign w:val="center"/>
            <w:hideMark/>
          </w:tcPr>
          <w:p w:rsidR="00D77B0E" w:rsidRPr="00DD03E7" w:rsidRDefault="00D77B0E" w:rsidP="00D73F13">
            <w:pPr>
              <w:jc w:val="center"/>
              <w:rPr>
                <w:rFonts w:ascii="Garamond" w:hAnsi="Garamond" w:cs="Calibri"/>
                <w:b/>
                <w:sz w:val="18"/>
                <w:szCs w:val="18"/>
              </w:rPr>
            </w:pPr>
            <w:r w:rsidRPr="00DD03E7">
              <w:rPr>
                <w:rFonts w:ascii="Garamond" w:hAnsi="Garamond" w:cs="Calibri"/>
                <w:b/>
                <w:sz w:val="18"/>
                <w:szCs w:val="18"/>
              </w:rPr>
              <w:t>114,0</w:t>
            </w:r>
          </w:p>
        </w:tc>
        <w:tc>
          <w:tcPr>
            <w:tcW w:w="700" w:type="dxa"/>
            <w:tcBorders>
              <w:top w:val="nil"/>
              <w:left w:val="nil"/>
              <w:bottom w:val="nil"/>
              <w:right w:val="nil"/>
            </w:tcBorders>
            <w:shd w:val="clear" w:color="auto" w:fill="auto"/>
            <w:noWrap/>
            <w:vAlign w:val="center"/>
            <w:hideMark/>
          </w:tcPr>
          <w:p w:rsidR="00D77B0E" w:rsidRPr="00DD03E7" w:rsidRDefault="00D77B0E" w:rsidP="00D73F13">
            <w:pPr>
              <w:jc w:val="center"/>
              <w:rPr>
                <w:rFonts w:ascii="Garamond" w:hAnsi="Garamond" w:cs="Calibri"/>
                <w:b/>
                <w:sz w:val="18"/>
                <w:szCs w:val="18"/>
              </w:rPr>
            </w:pPr>
            <w:r w:rsidRPr="00DD03E7">
              <w:rPr>
                <w:rFonts w:ascii="Garamond" w:hAnsi="Garamond" w:cs="Calibri"/>
                <w:b/>
                <w:sz w:val="18"/>
                <w:szCs w:val="18"/>
              </w:rPr>
              <w:t>1,4%</w:t>
            </w:r>
          </w:p>
        </w:tc>
        <w:tc>
          <w:tcPr>
            <w:tcW w:w="700" w:type="dxa"/>
            <w:tcBorders>
              <w:top w:val="nil"/>
              <w:left w:val="nil"/>
              <w:bottom w:val="nil"/>
              <w:right w:val="nil"/>
            </w:tcBorders>
            <w:shd w:val="clear" w:color="auto" w:fill="auto"/>
            <w:noWrap/>
            <w:vAlign w:val="center"/>
            <w:hideMark/>
          </w:tcPr>
          <w:p w:rsidR="00D77B0E" w:rsidRPr="00DD03E7" w:rsidRDefault="00D77B0E" w:rsidP="00D73F13">
            <w:pPr>
              <w:jc w:val="center"/>
              <w:rPr>
                <w:rFonts w:ascii="Garamond" w:hAnsi="Garamond" w:cs="Calibri"/>
                <w:b/>
                <w:sz w:val="18"/>
                <w:szCs w:val="18"/>
              </w:rPr>
            </w:pPr>
            <w:r w:rsidRPr="00DD03E7">
              <w:rPr>
                <w:rFonts w:ascii="Garamond" w:hAnsi="Garamond" w:cs="Calibri"/>
                <w:b/>
                <w:sz w:val="18"/>
                <w:szCs w:val="18"/>
              </w:rPr>
              <w:t>-1,7%</w:t>
            </w:r>
          </w:p>
        </w:tc>
        <w:tc>
          <w:tcPr>
            <w:tcW w:w="700" w:type="dxa"/>
            <w:tcBorders>
              <w:top w:val="nil"/>
              <w:left w:val="nil"/>
              <w:bottom w:val="nil"/>
              <w:right w:val="nil"/>
            </w:tcBorders>
            <w:shd w:val="clear" w:color="auto" w:fill="auto"/>
            <w:noWrap/>
            <w:vAlign w:val="center"/>
            <w:hideMark/>
          </w:tcPr>
          <w:p w:rsidR="00D77B0E" w:rsidRPr="00DD03E7" w:rsidRDefault="00D77B0E" w:rsidP="00D73F13">
            <w:pPr>
              <w:jc w:val="center"/>
              <w:rPr>
                <w:rFonts w:ascii="Garamond" w:hAnsi="Garamond" w:cs="Calibri"/>
                <w:b/>
                <w:sz w:val="18"/>
                <w:szCs w:val="18"/>
              </w:rPr>
            </w:pPr>
            <w:r w:rsidRPr="00DD03E7">
              <w:rPr>
                <w:rFonts w:ascii="Garamond" w:hAnsi="Garamond" w:cs="Calibri"/>
                <w:b/>
                <w:sz w:val="18"/>
                <w:szCs w:val="18"/>
              </w:rPr>
              <w:t>-0,9%</w:t>
            </w:r>
          </w:p>
        </w:tc>
        <w:tc>
          <w:tcPr>
            <w:tcW w:w="700" w:type="dxa"/>
            <w:tcBorders>
              <w:top w:val="nil"/>
              <w:left w:val="nil"/>
              <w:bottom w:val="nil"/>
              <w:right w:val="nil"/>
            </w:tcBorders>
            <w:shd w:val="clear" w:color="auto" w:fill="auto"/>
            <w:noWrap/>
            <w:vAlign w:val="center"/>
            <w:hideMark/>
          </w:tcPr>
          <w:p w:rsidR="00D77B0E" w:rsidRPr="00DD03E7" w:rsidRDefault="00D77B0E" w:rsidP="00D73F13">
            <w:pPr>
              <w:jc w:val="center"/>
              <w:rPr>
                <w:rFonts w:ascii="Garamond" w:hAnsi="Garamond" w:cs="Calibri"/>
                <w:b/>
                <w:sz w:val="18"/>
                <w:szCs w:val="18"/>
              </w:rPr>
            </w:pPr>
            <w:r w:rsidRPr="00DD03E7">
              <w:rPr>
                <w:rFonts w:ascii="Garamond" w:hAnsi="Garamond" w:cs="Calibri"/>
                <w:b/>
                <w:sz w:val="18"/>
                <w:szCs w:val="18"/>
              </w:rPr>
              <w:t>-0,3%</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Brescia</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133,0</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136,2</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135,3</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133,6</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125,5</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1,7%</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-7,3%</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-6,1%</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-5,6%</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Como</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129,3</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130,0</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131,2</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128,9</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130,1</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1,5%</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-0,8%</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0,9%</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0,6%</w:t>
            </w:r>
          </w:p>
        </w:tc>
      </w:tr>
      <w:tr w:rsidR="00D77B0E" w:rsidRPr="00BA34FF" w:rsidTr="00D73F13">
        <w:trPr>
          <w:trHeight w:val="240"/>
        </w:trPr>
        <w:tc>
          <w:tcPr>
            <w:tcW w:w="2020" w:type="dxa"/>
            <w:tcBorders>
              <w:top w:val="nil"/>
              <w:left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Cremona</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149,1</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154,6</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136,5</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137,2</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137,4</w:t>
            </w:r>
          </w:p>
        </w:tc>
        <w:tc>
          <w:tcPr>
            <w:tcW w:w="700" w:type="dxa"/>
            <w:tcBorders>
              <w:top w:val="nil"/>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-8,4%</w:t>
            </w:r>
          </w:p>
        </w:tc>
        <w:tc>
          <w:tcPr>
            <w:tcW w:w="700" w:type="dxa"/>
            <w:tcBorders>
              <w:top w:val="nil"/>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0,6%</w:t>
            </w:r>
          </w:p>
        </w:tc>
        <w:tc>
          <w:tcPr>
            <w:tcW w:w="700" w:type="dxa"/>
            <w:tcBorders>
              <w:top w:val="nil"/>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0,1%</w:t>
            </w:r>
          </w:p>
        </w:tc>
        <w:tc>
          <w:tcPr>
            <w:tcW w:w="700" w:type="dxa"/>
            <w:tcBorders>
              <w:top w:val="nil"/>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-7,9%</w:t>
            </w:r>
          </w:p>
        </w:tc>
      </w:tr>
      <w:tr w:rsidR="00D77B0E" w:rsidRPr="00DD03E7" w:rsidTr="00D73F13">
        <w:trPr>
          <w:trHeight w:val="240"/>
        </w:trPr>
        <w:tc>
          <w:tcPr>
            <w:tcW w:w="2020" w:type="dxa"/>
            <w:tcBorders>
              <w:left w:val="nil"/>
              <w:right w:val="nil"/>
            </w:tcBorders>
            <w:shd w:val="clear" w:color="auto" w:fill="auto"/>
            <w:vAlign w:val="center"/>
            <w:hideMark/>
          </w:tcPr>
          <w:p w:rsidR="00D77B0E" w:rsidRPr="00DD03E7" w:rsidRDefault="00D77B0E" w:rsidP="00D73F13">
            <w:pPr>
              <w:rPr>
                <w:rFonts w:ascii="Garamond" w:hAnsi="Garamond" w:cs="Calibri"/>
                <w:color w:val="000000"/>
                <w:sz w:val="18"/>
                <w:szCs w:val="18"/>
              </w:rPr>
            </w:pPr>
            <w:r w:rsidRPr="00DD03E7">
              <w:rPr>
                <w:rFonts w:ascii="Garamond" w:hAnsi="Garamond" w:cs="Calibri"/>
                <w:color w:val="000000"/>
                <w:sz w:val="18"/>
                <w:szCs w:val="18"/>
              </w:rPr>
              <w:t>Lecco</w:t>
            </w:r>
          </w:p>
        </w:tc>
        <w:tc>
          <w:tcPr>
            <w:tcW w:w="820" w:type="dxa"/>
            <w:tcBorders>
              <w:left w:val="nil"/>
              <w:right w:val="nil"/>
            </w:tcBorders>
            <w:shd w:val="clear" w:color="auto" w:fill="auto"/>
            <w:noWrap/>
            <w:vAlign w:val="bottom"/>
            <w:hideMark/>
          </w:tcPr>
          <w:p w:rsidR="00D77B0E" w:rsidRPr="00DD03E7" w:rsidRDefault="00D77B0E" w:rsidP="00D73F13">
            <w:pPr>
              <w:jc w:val="center"/>
              <w:rPr>
                <w:rFonts w:ascii="Garamond" w:hAnsi="Garamond" w:cs="Calibri"/>
                <w:color w:val="000000"/>
                <w:sz w:val="18"/>
                <w:szCs w:val="18"/>
              </w:rPr>
            </w:pPr>
            <w:r w:rsidRPr="00DD03E7">
              <w:rPr>
                <w:rFonts w:ascii="Garamond" w:hAnsi="Garamond" w:cs="Calibri"/>
                <w:color w:val="000000"/>
                <w:sz w:val="18"/>
                <w:szCs w:val="18"/>
              </w:rPr>
              <w:t>131,8</w:t>
            </w:r>
          </w:p>
        </w:tc>
        <w:tc>
          <w:tcPr>
            <w:tcW w:w="820" w:type="dxa"/>
            <w:tcBorders>
              <w:left w:val="nil"/>
              <w:right w:val="nil"/>
            </w:tcBorders>
            <w:shd w:val="clear" w:color="auto" w:fill="auto"/>
            <w:noWrap/>
            <w:vAlign w:val="bottom"/>
            <w:hideMark/>
          </w:tcPr>
          <w:p w:rsidR="00D77B0E" w:rsidRPr="00DD03E7" w:rsidRDefault="00D77B0E" w:rsidP="00D73F13">
            <w:pPr>
              <w:jc w:val="center"/>
              <w:rPr>
                <w:rFonts w:ascii="Garamond" w:hAnsi="Garamond" w:cs="Calibri"/>
                <w:color w:val="000000"/>
                <w:sz w:val="18"/>
                <w:szCs w:val="18"/>
              </w:rPr>
            </w:pPr>
            <w:r w:rsidRPr="00DD03E7">
              <w:rPr>
                <w:rFonts w:ascii="Garamond" w:hAnsi="Garamond" w:cs="Calibri"/>
                <w:color w:val="000000"/>
                <w:sz w:val="18"/>
                <w:szCs w:val="18"/>
              </w:rPr>
              <w:t>132,5</w:t>
            </w:r>
          </w:p>
        </w:tc>
        <w:tc>
          <w:tcPr>
            <w:tcW w:w="820" w:type="dxa"/>
            <w:tcBorders>
              <w:left w:val="nil"/>
              <w:right w:val="nil"/>
            </w:tcBorders>
            <w:shd w:val="clear" w:color="auto" w:fill="auto"/>
            <w:noWrap/>
            <w:vAlign w:val="bottom"/>
            <w:hideMark/>
          </w:tcPr>
          <w:p w:rsidR="00D77B0E" w:rsidRPr="00DD03E7" w:rsidRDefault="00D77B0E" w:rsidP="00D73F13">
            <w:pPr>
              <w:jc w:val="center"/>
              <w:rPr>
                <w:rFonts w:ascii="Garamond" w:hAnsi="Garamond" w:cs="Calibri"/>
                <w:color w:val="000000"/>
                <w:sz w:val="18"/>
                <w:szCs w:val="18"/>
              </w:rPr>
            </w:pPr>
            <w:r w:rsidRPr="00DD03E7">
              <w:rPr>
                <w:rFonts w:ascii="Garamond" w:hAnsi="Garamond" w:cs="Calibri"/>
                <w:color w:val="000000"/>
                <w:sz w:val="18"/>
                <w:szCs w:val="18"/>
              </w:rPr>
              <w:t>135,5</w:t>
            </w:r>
          </w:p>
        </w:tc>
        <w:tc>
          <w:tcPr>
            <w:tcW w:w="820" w:type="dxa"/>
            <w:tcBorders>
              <w:left w:val="nil"/>
              <w:right w:val="nil"/>
            </w:tcBorders>
            <w:shd w:val="clear" w:color="auto" w:fill="auto"/>
            <w:noWrap/>
            <w:vAlign w:val="bottom"/>
            <w:hideMark/>
          </w:tcPr>
          <w:p w:rsidR="00D77B0E" w:rsidRPr="00DD03E7" w:rsidRDefault="00D77B0E" w:rsidP="00D73F13">
            <w:pPr>
              <w:jc w:val="center"/>
              <w:rPr>
                <w:rFonts w:ascii="Garamond" w:hAnsi="Garamond" w:cs="Calibri"/>
                <w:color w:val="000000"/>
                <w:sz w:val="18"/>
                <w:szCs w:val="18"/>
              </w:rPr>
            </w:pPr>
            <w:r w:rsidRPr="00DD03E7">
              <w:rPr>
                <w:rFonts w:ascii="Garamond" w:hAnsi="Garamond" w:cs="Calibri"/>
                <w:color w:val="000000"/>
                <w:sz w:val="18"/>
                <w:szCs w:val="18"/>
              </w:rPr>
              <w:t>134,9</w:t>
            </w:r>
          </w:p>
        </w:tc>
        <w:tc>
          <w:tcPr>
            <w:tcW w:w="820" w:type="dxa"/>
            <w:tcBorders>
              <w:left w:val="nil"/>
              <w:right w:val="nil"/>
            </w:tcBorders>
            <w:shd w:val="clear" w:color="auto" w:fill="auto"/>
            <w:noWrap/>
            <w:vAlign w:val="bottom"/>
            <w:hideMark/>
          </w:tcPr>
          <w:p w:rsidR="00D77B0E" w:rsidRPr="00DD03E7" w:rsidRDefault="00D77B0E" w:rsidP="00D73F13">
            <w:pPr>
              <w:jc w:val="center"/>
              <w:rPr>
                <w:rFonts w:ascii="Garamond" w:hAnsi="Garamond" w:cs="Calibri"/>
                <w:color w:val="000000"/>
                <w:sz w:val="18"/>
                <w:szCs w:val="18"/>
              </w:rPr>
            </w:pPr>
            <w:r w:rsidRPr="00DD03E7">
              <w:rPr>
                <w:rFonts w:ascii="Garamond" w:hAnsi="Garamond" w:cs="Calibri"/>
                <w:color w:val="000000"/>
                <w:sz w:val="18"/>
                <w:szCs w:val="18"/>
              </w:rPr>
              <w:t>138,9</w:t>
            </w:r>
          </w:p>
        </w:tc>
        <w:tc>
          <w:tcPr>
            <w:tcW w:w="700" w:type="dxa"/>
            <w:tcBorders>
              <w:left w:val="nil"/>
              <w:right w:val="nil"/>
            </w:tcBorders>
            <w:shd w:val="clear" w:color="auto" w:fill="auto"/>
            <w:noWrap/>
            <w:vAlign w:val="center"/>
            <w:hideMark/>
          </w:tcPr>
          <w:p w:rsidR="00D77B0E" w:rsidRPr="00DD03E7" w:rsidRDefault="00D77B0E" w:rsidP="00D73F13">
            <w:pPr>
              <w:jc w:val="center"/>
              <w:rPr>
                <w:rFonts w:ascii="Garamond" w:hAnsi="Garamond" w:cs="Calibri"/>
                <w:sz w:val="18"/>
                <w:szCs w:val="18"/>
              </w:rPr>
            </w:pPr>
            <w:r w:rsidRPr="00DD03E7">
              <w:rPr>
                <w:rFonts w:ascii="Garamond" w:hAnsi="Garamond" w:cs="Calibri"/>
                <w:sz w:val="18"/>
                <w:szCs w:val="18"/>
              </w:rPr>
              <w:t>2,8%</w:t>
            </w:r>
          </w:p>
        </w:tc>
        <w:tc>
          <w:tcPr>
            <w:tcW w:w="700" w:type="dxa"/>
            <w:tcBorders>
              <w:left w:val="nil"/>
              <w:right w:val="nil"/>
            </w:tcBorders>
            <w:shd w:val="clear" w:color="auto" w:fill="auto"/>
            <w:noWrap/>
            <w:vAlign w:val="center"/>
            <w:hideMark/>
          </w:tcPr>
          <w:p w:rsidR="00D77B0E" w:rsidRPr="00DD03E7" w:rsidRDefault="00D77B0E" w:rsidP="00D73F13">
            <w:pPr>
              <w:jc w:val="center"/>
              <w:rPr>
                <w:rFonts w:ascii="Garamond" w:hAnsi="Garamond" w:cs="Calibri"/>
                <w:sz w:val="18"/>
                <w:szCs w:val="18"/>
              </w:rPr>
            </w:pPr>
            <w:r w:rsidRPr="00DD03E7">
              <w:rPr>
                <w:rFonts w:ascii="Garamond" w:hAnsi="Garamond" w:cs="Calibri"/>
                <w:sz w:val="18"/>
                <w:szCs w:val="18"/>
              </w:rPr>
              <w:t>2,5%</w:t>
            </w:r>
          </w:p>
        </w:tc>
        <w:tc>
          <w:tcPr>
            <w:tcW w:w="700" w:type="dxa"/>
            <w:tcBorders>
              <w:left w:val="nil"/>
              <w:right w:val="nil"/>
            </w:tcBorders>
            <w:shd w:val="clear" w:color="auto" w:fill="auto"/>
            <w:noWrap/>
            <w:vAlign w:val="center"/>
            <w:hideMark/>
          </w:tcPr>
          <w:p w:rsidR="00D77B0E" w:rsidRPr="00DD03E7" w:rsidRDefault="00D77B0E" w:rsidP="00D73F13">
            <w:pPr>
              <w:jc w:val="center"/>
              <w:rPr>
                <w:rFonts w:ascii="Garamond" w:hAnsi="Garamond" w:cs="Calibri"/>
                <w:sz w:val="18"/>
                <w:szCs w:val="18"/>
              </w:rPr>
            </w:pPr>
            <w:r w:rsidRPr="00DD03E7">
              <w:rPr>
                <w:rFonts w:ascii="Garamond" w:hAnsi="Garamond" w:cs="Calibri"/>
                <w:sz w:val="18"/>
                <w:szCs w:val="18"/>
              </w:rPr>
              <w:t>2,9%</w:t>
            </w:r>
          </w:p>
        </w:tc>
        <w:tc>
          <w:tcPr>
            <w:tcW w:w="700" w:type="dxa"/>
            <w:tcBorders>
              <w:left w:val="nil"/>
              <w:right w:val="nil"/>
            </w:tcBorders>
            <w:shd w:val="clear" w:color="auto" w:fill="auto"/>
            <w:noWrap/>
            <w:vAlign w:val="center"/>
            <w:hideMark/>
          </w:tcPr>
          <w:p w:rsidR="00D77B0E" w:rsidRPr="00DD03E7" w:rsidRDefault="00D77B0E" w:rsidP="00D73F13">
            <w:pPr>
              <w:jc w:val="center"/>
              <w:rPr>
                <w:rFonts w:ascii="Garamond" w:hAnsi="Garamond" w:cs="Calibri"/>
                <w:sz w:val="18"/>
                <w:szCs w:val="18"/>
              </w:rPr>
            </w:pPr>
            <w:r w:rsidRPr="00DD03E7">
              <w:rPr>
                <w:rFonts w:ascii="Garamond" w:hAnsi="Garamond" w:cs="Calibri"/>
                <w:sz w:val="18"/>
                <w:szCs w:val="18"/>
              </w:rPr>
              <w:t>5,4%</w:t>
            </w:r>
          </w:p>
        </w:tc>
      </w:tr>
      <w:tr w:rsidR="00D77B0E" w:rsidRPr="00BA34FF" w:rsidTr="00D73F13">
        <w:trPr>
          <w:trHeight w:val="240"/>
        </w:trPr>
        <w:tc>
          <w:tcPr>
            <w:tcW w:w="2020" w:type="dxa"/>
            <w:tcBorders>
              <w:left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135,2</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132,1</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137,8</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136,9</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135,0</w:t>
            </w:r>
          </w:p>
        </w:tc>
        <w:tc>
          <w:tcPr>
            <w:tcW w:w="700" w:type="dxa"/>
            <w:tcBorders>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1,9%</w:t>
            </w:r>
          </w:p>
        </w:tc>
        <w:tc>
          <w:tcPr>
            <w:tcW w:w="700" w:type="dxa"/>
            <w:tcBorders>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-2,0%</w:t>
            </w:r>
          </w:p>
        </w:tc>
        <w:tc>
          <w:tcPr>
            <w:tcW w:w="700" w:type="dxa"/>
            <w:tcBorders>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-1,4%</w:t>
            </w:r>
          </w:p>
        </w:tc>
        <w:tc>
          <w:tcPr>
            <w:tcW w:w="700" w:type="dxa"/>
            <w:tcBorders>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-0,1%</w:t>
            </w:r>
          </w:p>
        </w:tc>
      </w:tr>
      <w:tr w:rsidR="00D77B0E" w:rsidRPr="00BA34FF" w:rsidTr="00D73F13">
        <w:trPr>
          <w:trHeight w:val="240"/>
        </w:trPr>
        <w:tc>
          <w:tcPr>
            <w:tcW w:w="2020" w:type="dxa"/>
            <w:tcBorders>
              <w:left w:val="nil"/>
              <w:right w:val="nil"/>
            </w:tcBorders>
            <w:shd w:val="clear" w:color="auto" w:fill="auto"/>
            <w:vAlign w:val="center"/>
            <w:hideMark/>
          </w:tcPr>
          <w:p w:rsidR="00D77B0E" w:rsidRPr="00915B24" w:rsidRDefault="00D77B0E" w:rsidP="00D73F13">
            <w:pPr>
              <w:rPr>
                <w:rFonts w:ascii="Garamond" w:hAnsi="Garamond" w:cs="Calibri"/>
                <w:bCs/>
                <w:color w:val="000000"/>
                <w:sz w:val="18"/>
                <w:szCs w:val="18"/>
              </w:rPr>
            </w:pPr>
            <w:r w:rsidRPr="00915B24">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D77B0E" w:rsidRPr="00915B24" w:rsidRDefault="00D77B0E" w:rsidP="00D73F13">
            <w:pPr>
              <w:jc w:val="center"/>
              <w:rPr>
                <w:rFonts w:ascii="Garamond" w:hAnsi="Garamond" w:cs="Calibri"/>
                <w:bCs/>
                <w:color w:val="000000"/>
                <w:sz w:val="18"/>
                <w:szCs w:val="18"/>
              </w:rPr>
            </w:pPr>
            <w:r w:rsidRPr="00915B24">
              <w:rPr>
                <w:rFonts w:ascii="Garamond" w:hAnsi="Garamond" w:cs="Calibri"/>
                <w:bCs/>
                <w:color w:val="000000"/>
                <w:sz w:val="18"/>
                <w:szCs w:val="18"/>
              </w:rPr>
              <w:t>150,5</w:t>
            </w:r>
          </w:p>
        </w:tc>
        <w:tc>
          <w:tcPr>
            <w:tcW w:w="820" w:type="dxa"/>
            <w:tcBorders>
              <w:left w:val="nil"/>
              <w:right w:val="nil"/>
            </w:tcBorders>
            <w:shd w:val="clear" w:color="auto" w:fill="auto"/>
            <w:noWrap/>
            <w:vAlign w:val="bottom"/>
            <w:hideMark/>
          </w:tcPr>
          <w:p w:rsidR="00D77B0E" w:rsidRPr="00915B24" w:rsidRDefault="00D77B0E" w:rsidP="00D73F13">
            <w:pPr>
              <w:jc w:val="center"/>
              <w:rPr>
                <w:rFonts w:ascii="Garamond" w:hAnsi="Garamond" w:cs="Calibri"/>
                <w:bCs/>
                <w:color w:val="000000"/>
                <w:sz w:val="18"/>
                <w:szCs w:val="18"/>
              </w:rPr>
            </w:pPr>
            <w:r w:rsidRPr="00915B24">
              <w:rPr>
                <w:rFonts w:ascii="Garamond" w:hAnsi="Garamond" w:cs="Calibri"/>
                <w:bCs/>
                <w:color w:val="000000"/>
                <w:sz w:val="18"/>
                <w:szCs w:val="18"/>
              </w:rPr>
              <w:t>149,8</w:t>
            </w:r>
          </w:p>
        </w:tc>
        <w:tc>
          <w:tcPr>
            <w:tcW w:w="820" w:type="dxa"/>
            <w:tcBorders>
              <w:left w:val="nil"/>
              <w:right w:val="nil"/>
            </w:tcBorders>
            <w:shd w:val="clear" w:color="auto" w:fill="auto"/>
            <w:noWrap/>
            <w:vAlign w:val="bottom"/>
            <w:hideMark/>
          </w:tcPr>
          <w:p w:rsidR="00D77B0E" w:rsidRPr="00915B24" w:rsidRDefault="00D77B0E" w:rsidP="00D73F13">
            <w:pPr>
              <w:jc w:val="center"/>
              <w:rPr>
                <w:rFonts w:ascii="Garamond" w:hAnsi="Garamond" w:cs="Calibri"/>
                <w:bCs/>
                <w:color w:val="000000"/>
                <w:sz w:val="18"/>
                <w:szCs w:val="18"/>
              </w:rPr>
            </w:pPr>
            <w:r w:rsidRPr="00915B24">
              <w:rPr>
                <w:rFonts w:ascii="Garamond" w:hAnsi="Garamond" w:cs="Calibri"/>
                <w:bCs/>
                <w:color w:val="000000"/>
                <w:sz w:val="18"/>
                <w:szCs w:val="18"/>
              </w:rPr>
              <w:t>152,5</w:t>
            </w:r>
          </w:p>
        </w:tc>
        <w:tc>
          <w:tcPr>
            <w:tcW w:w="820" w:type="dxa"/>
            <w:tcBorders>
              <w:left w:val="nil"/>
              <w:right w:val="nil"/>
            </w:tcBorders>
            <w:shd w:val="clear" w:color="auto" w:fill="auto"/>
            <w:noWrap/>
            <w:vAlign w:val="bottom"/>
            <w:hideMark/>
          </w:tcPr>
          <w:p w:rsidR="00D77B0E" w:rsidRPr="00915B24" w:rsidRDefault="00D77B0E" w:rsidP="00D73F13">
            <w:pPr>
              <w:jc w:val="center"/>
              <w:rPr>
                <w:rFonts w:ascii="Garamond" w:hAnsi="Garamond" w:cs="Calibri"/>
                <w:bCs/>
                <w:color w:val="000000"/>
                <w:sz w:val="18"/>
                <w:szCs w:val="18"/>
              </w:rPr>
            </w:pPr>
            <w:r w:rsidRPr="00915B24">
              <w:rPr>
                <w:rFonts w:ascii="Garamond" w:hAnsi="Garamond" w:cs="Calibri"/>
                <w:bCs/>
                <w:color w:val="000000"/>
                <w:sz w:val="18"/>
                <w:szCs w:val="18"/>
              </w:rPr>
              <w:t>151,7</w:t>
            </w:r>
          </w:p>
        </w:tc>
        <w:tc>
          <w:tcPr>
            <w:tcW w:w="820" w:type="dxa"/>
            <w:tcBorders>
              <w:left w:val="nil"/>
              <w:right w:val="nil"/>
            </w:tcBorders>
            <w:shd w:val="clear" w:color="auto" w:fill="auto"/>
            <w:noWrap/>
            <w:vAlign w:val="bottom"/>
            <w:hideMark/>
          </w:tcPr>
          <w:p w:rsidR="00D77B0E" w:rsidRPr="00915B24" w:rsidRDefault="00D77B0E" w:rsidP="00D73F13">
            <w:pPr>
              <w:jc w:val="center"/>
              <w:rPr>
                <w:rFonts w:ascii="Garamond" w:hAnsi="Garamond" w:cs="Calibri"/>
                <w:bCs/>
                <w:color w:val="000000"/>
                <w:sz w:val="18"/>
                <w:szCs w:val="18"/>
              </w:rPr>
            </w:pPr>
            <w:r w:rsidRPr="00915B24">
              <w:rPr>
                <w:rFonts w:ascii="Garamond" w:hAnsi="Garamond" w:cs="Calibri"/>
                <w:bCs/>
                <w:color w:val="000000"/>
                <w:sz w:val="18"/>
                <w:szCs w:val="18"/>
              </w:rPr>
              <w:t>151,3</w:t>
            </w:r>
          </w:p>
        </w:tc>
        <w:tc>
          <w:tcPr>
            <w:tcW w:w="700" w:type="dxa"/>
            <w:tcBorders>
              <w:left w:val="nil"/>
              <w:right w:val="nil"/>
            </w:tcBorders>
            <w:shd w:val="clear" w:color="auto" w:fill="auto"/>
            <w:noWrap/>
            <w:vAlign w:val="center"/>
            <w:hideMark/>
          </w:tcPr>
          <w:p w:rsidR="00D77B0E" w:rsidRPr="00915B24" w:rsidRDefault="00D77B0E" w:rsidP="00D73F13">
            <w:pPr>
              <w:jc w:val="center"/>
              <w:rPr>
                <w:rFonts w:ascii="Garamond" w:hAnsi="Garamond" w:cs="Calibri"/>
                <w:bCs/>
                <w:sz w:val="18"/>
                <w:szCs w:val="18"/>
              </w:rPr>
            </w:pPr>
            <w:r w:rsidRPr="00915B24">
              <w:rPr>
                <w:rFonts w:ascii="Garamond" w:hAnsi="Garamond" w:cs="Calibri"/>
                <w:bCs/>
                <w:sz w:val="18"/>
                <w:szCs w:val="18"/>
              </w:rPr>
              <w:t>1,3%</w:t>
            </w:r>
          </w:p>
        </w:tc>
        <w:tc>
          <w:tcPr>
            <w:tcW w:w="700" w:type="dxa"/>
            <w:tcBorders>
              <w:left w:val="nil"/>
              <w:right w:val="nil"/>
            </w:tcBorders>
            <w:shd w:val="clear" w:color="auto" w:fill="auto"/>
            <w:noWrap/>
            <w:vAlign w:val="center"/>
            <w:hideMark/>
          </w:tcPr>
          <w:p w:rsidR="00D77B0E" w:rsidRPr="00915B24" w:rsidRDefault="00D77B0E" w:rsidP="00D73F13">
            <w:pPr>
              <w:jc w:val="center"/>
              <w:rPr>
                <w:rFonts w:ascii="Garamond" w:hAnsi="Garamond" w:cs="Calibri"/>
                <w:bCs/>
                <w:sz w:val="18"/>
                <w:szCs w:val="18"/>
              </w:rPr>
            </w:pPr>
            <w:r w:rsidRPr="00915B24">
              <w:rPr>
                <w:rFonts w:ascii="Garamond" w:hAnsi="Garamond" w:cs="Calibri"/>
                <w:bCs/>
                <w:sz w:val="18"/>
                <w:szCs w:val="18"/>
              </w:rPr>
              <w:t>-0,8%</w:t>
            </w:r>
          </w:p>
        </w:tc>
        <w:tc>
          <w:tcPr>
            <w:tcW w:w="700" w:type="dxa"/>
            <w:tcBorders>
              <w:left w:val="nil"/>
              <w:right w:val="nil"/>
            </w:tcBorders>
            <w:shd w:val="clear" w:color="auto" w:fill="auto"/>
            <w:noWrap/>
            <w:vAlign w:val="center"/>
            <w:hideMark/>
          </w:tcPr>
          <w:p w:rsidR="00D77B0E" w:rsidRPr="00915B24" w:rsidRDefault="00D77B0E" w:rsidP="00D73F13">
            <w:pPr>
              <w:jc w:val="center"/>
              <w:rPr>
                <w:rFonts w:ascii="Garamond" w:hAnsi="Garamond" w:cs="Calibri"/>
                <w:bCs/>
                <w:sz w:val="18"/>
                <w:szCs w:val="18"/>
              </w:rPr>
            </w:pPr>
            <w:r w:rsidRPr="00915B24">
              <w:rPr>
                <w:rFonts w:ascii="Garamond" w:hAnsi="Garamond" w:cs="Calibri"/>
                <w:bCs/>
                <w:sz w:val="18"/>
                <w:szCs w:val="18"/>
              </w:rPr>
              <w:t>-0,3%</w:t>
            </w:r>
          </w:p>
        </w:tc>
        <w:tc>
          <w:tcPr>
            <w:tcW w:w="700" w:type="dxa"/>
            <w:tcBorders>
              <w:left w:val="nil"/>
              <w:right w:val="nil"/>
            </w:tcBorders>
            <w:shd w:val="clear" w:color="auto" w:fill="auto"/>
            <w:noWrap/>
            <w:vAlign w:val="center"/>
            <w:hideMark/>
          </w:tcPr>
          <w:p w:rsidR="00D77B0E" w:rsidRPr="00915B24" w:rsidRDefault="00D77B0E" w:rsidP="00D73F13">
            <w:pPr>
              <w:jc w:val="center"/>
              <w:rPr>
                <w:rFonts w:ascii="Garamond" w:hAnsi="Garamond" w:cs="Calibri"/>
                <w:bCs/>
                <w:sz w:val="18"/>
                <w:szCs w:val="18"/>
              </w:rPr>
            </w:pPr>
            <w:r w:rsidRPr="00915B24">
              <w:rPr>
                <w:rFonts w:ascii="Garamond" w:hAnsi="Garamond" w:cs="Calibri"/>
                <w:bCs/>
                <w:sz w:val="18"/>
                <w:szCs w:val="18"/>
              </w:rPr>
              <w:t>0,5%</w:t>
            </w:r>
          </w:p>
        </w:tc>
      </w:tr>
      <w:tr w:rsidR="00D77B0E" w:rsidRPr="00BA34FF" w:rsidTr="00D73F13">
        <w:trPr>
          <w:trHeight w:val="240"/>
        </w:trPr>
        <w:tc>
          <w:tcPr>
            <w:tcW w:w="2020" w:type="dxa"/>
            <w:tcBorders>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Milano</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224,8</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223,3</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221,7</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225,8</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219,6</w:t>
            </w:r>
          </w:p>
        </w:tc>
        <w:tc>
          <w:tcPr>
            <w:tcW w:w="700" w:type="dxa"/>
            <w:tcBorders>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-1,4%</w:t>
            </w:r>
          </w:p>
        </w:tc>
        <w:tc>
          <w:tcPr>
            <w:tcW w:w="700" w:type="dxa"/>
            <w:tcBorders>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-0,9%</w:t>
            </w:r>
          </w:p>
        </w:tc>
        <w:tc>
          <w:tcPr>
            <w:tcW w:w="700" w:type="dxa"/>
            <w:tcBorders>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-2,7%</w:t>
            </w:r>
          </w:p>
        </w:tc>
        <w:tc>
          <w:tcPr>
            <w:tcW w:w="700" w:type="dxa"/>
            <w:tcBorders>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-2,3%</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155,4</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155,6</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162,9</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159,8</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151,8</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4,8%</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-6,8%</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-5,0%</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-2,3%</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137,1</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141,6</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144,1</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138,5</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127,6</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5,1%</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-11,4%</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-7,9%</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-6,9%</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93,3</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93,7</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99,3</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99,5</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101,7</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6,4%</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2,5%</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2,2%</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9,0%</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137,2</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140,9</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143,6</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140,2</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136,6</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4,7%</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-4,9%</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-2,6%</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-0,5%</w:t>
            </w:r>
          </w:p>
        </w:tc>
      </w:tr>
      <w:tr w:rsidR="00D77B0E" w:rsidRPr="00BA34FF" w:rsidTr="00D73F13">
        <w:trPr>
          <w:trHeight w:val="70"/>
        </w:trPr>
        <w:tc>
          <w:tcPr>
            <w:tcW w:w="2020" w:type="dxa"/>
            <w:tcBorders>
              <w:top w:val="single" w:sz="4" w:space="0" w:color="auto"/>
              <w:left w:val="nil"/>
              <w:bottom w:val="single" w:sz="4" w:space="0" w:color="auto"/>
              <w:right w:val="nil"/>
            </w:tcBorders>
            <w:shd w:val="clear" w:color="auto" w:fill="auto"/>
            <w:vAlign w:val="center"/>
            <w:hideMark/>
          </w:tcPr>
          <w:p w:rsidR="00D77B0E" w:rsidRPr="00BA34FF" w:rsidRDefault="00D77B0E" w:rsidP="00D73F13">
            <w:pP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r>
      <w:tr w:rsidR="00D77B0E" w:rsidRPr="00BA34FF" w:rsidTr="00D73F13">
        <w:trPr>
          <w:trHeight w:val="240"/>
        </w:trPr>
        <w:tc>
          <w:tcPr>
            <w:tcW w:w="2020" w:type="dxa"/>
            <w:tcBorders>
              <w:top w:val="nil"/>
              <w:left w:val="nil"/>
              <w:bottom w:val="single" w:sz="4" w:space="0" w:color="auto"/>
              <w:right w:val="nil"/>
            </w:tcBorders>
            <w:shd w:val="clear" w:color="auto" w:fill="auto"/>
            <w:vAlign w:val="center"/>
            <w:hideMark/>
          </w:tcPr>
          <w:p w:rsidR="00D77B0E" w:rsidRPr="00BA34FF" w:rsidRDefault="00D77B0E" w:rsidP="00D73F13">
            <w:pPr>
              <w:rPr>
                <w:rFonts w:ascii="Garamond" w:hAnsi="Garamond" w:cs="Calibri"/>
                <w:b/>
                <w:bCs/>
                <w:color w:val="000000"/>
                <w:sz w:val="18"/>
                <w:szCs w:val="18"/>
              </w:rPr>
            </w:pPr>
            <w:r w:rsidRPr="00BA34FF">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163,8</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164,7</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164,6</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164,6</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160,1</w:t>
            </w:r>
          </w:p>
        </w:tc>
        <w:tc>
          <w:tcPr>
            <w:tcW w:w="700" w:type="dxa"/>
            <w:tcBorders>
              <w:top w:val="nil"/>
              <w:left w:val="nil"/>
              <w:bottom w:val="single" w:sz="4" w:space="0" w:color="auto"/>
              <w:right w:val="nil"/>
            </w:tcBorders>
            <w:shd w:val="clear" w:color="auto" w:fill="auto"/>
            <w:noWrap/>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0,5%</w:t>
            </w:r>
          </w:p>
        </w:tc>
        <w:tc>
          <w:tcPr>
            <w:tcW w:w="700" w:type="dxa"/>
            <w:tcBorders>
              <w:top w:val="nil"/>
              <w:left w:val="nil"/>
              <w:bottom w:val="single" w:sz="4" w:space="0" w:color="auto"/>
              <w:right w:val="nil"/>
            </w:tcBorders>
            <w:shd w:val="clear" w:color="auto" w:fill="auto"/>
            <w:noWrap/>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-2,7%</w:t>
            </w:r>
          </w:p>
        </w:tc>
        <w:tc>
          <w:tcPr>
            <w:tcW w:w="700" w:type="dxa"/>
            <w:tcBorders>
              <w:top w:val="nil"/>
              <w:left w:val="nil"/>
              <w:bottom w:val="single" w:sz="4" w:space="0" w:color="auto"/>
              <w:right w:val="nil"/>
            </w:tcBorders>
            <w:shd w:val="clear" w:color="auto" w:fill="auto"/>
            <w:noWrap/>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-2,7%</w:t>
            </w:r>
          </w:p>
        </w:tc>
        <w:tc>
          <w:tcPr>
            <w:tcW w:w="700" w:type="dxa"/>
            <w:tcBorders>
              <w:top w:val="nil"/>
              <w:left w:val="nil"/>
              <w:bottom w:val="single" w:sz="4" w:space="0" w:color="auto"/>
              <w:right w:val="nil"/>
            </w:tcBorders>
            <w:shd w:val="clear" w:color="auto" w:fill="auto"/>
            <w:noWrap/>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-2,2%</w:t>
            </w:r>
          </w:p>
        </w:tc>
      </w:tr>
    </w:tbl>
    <w:p w:rsidR="00D77B0E" w:rsidRPr="00C32A1C" w:rsidRDefault="00D77B0E" w:rsidP="00D77B0E">
      <w:pPr>
        <w:rPr>
          <w:rFonts w:ascii="Cambria" w:hAnsi="Cambria" w:cs="Verdana"/>
          <w:i/>
          <w:sz w:val="18"/>
          <w:szCs w:val="18"/>
        </w:rPr>
      </w:pPr>
      <w:r w:rsidRPr="00C32A1C">
        <w:rPr>
          <w:rFonts w:ascii="Cambria" w:hAnsi="Cambria" w:cs="Verdana"/>
          <w:i/>
          <w:sz w:val="18"/>
          <w:szCs w:val="18"/>
        </w:rPr>
        <w:t xml:space="preserve">Fonte: Elaborazioni su dati del Ministero dell’Interno – </w:t>
      </w:r>
      <w:r>
        <w:rPr>
          <w:rFonts w:ascii="Cambria" w:hAnsi="Cambria" w:cs="Verdana"/>
          <w:i/>
          <w:sz w:val="18"/>
          <w:szCs w:val="18"/>
        </w:rPr>
        <w:t>bilanci di previsione dei comuni</w:t>
      </w: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Pr="001C58BB" w:rsidRDefault="00D77B0E" w:rsidP="00D77B0E">
      <w:pPr>
        <w:rPr>
          <w:rFonts w:ascii="Garamond" w:hAnsi="Garamond"/>
          <w:sz w:val="20"/>
          <w:szCs w:val="20"/>
        </w:rPr>
      </w:pPr>
      <w:r w:rsidRPr="001C58BB">
        <w:rPr>
          <w:rFonts w:ascii="Garamond" w:hAnsi="Garamond"/>
          <w:sz w:val="20"/>
          <w:szCs w:val="20"/>
        </w:rPr>
        <w:t xml:space="preserve">La riduzione della spesa sociale ha riguardato in particolare i comuni più grandi mentre nei comuni più piccoli si è verificato un aumento degli stanziamenti inziali. </w:t>
      </w: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r>
        <w:rPr>
          <w:rFonts w:ascii="Garamond" w:hAnsi="Garamond"/>
          <w:b/>
          <w:sz w:val="20"/>
          <w:szCs w:val="20"/>
        </w:rPr>
        <w:lastRenderedPageBreak/>
        <w:t xml:space="preserve">Provincia di Bergamo - </w:t>
      </w:r>
      <w:r w:rsidRPr="00031861">
        <w:rPr>
          <w:rFonts w:ascii="Garamond" w:hAnsi="Garamond"/>
          <w:b/>
          <w:sz w:val="20"/>
          <w:szCs w:val="20"/>
        </w:rPr>
        <w:t xml:space="preserve">Variazione tendenziale della spesa sociale pro-capite dei comuni. </w:t>
      </w:r>
      <w:r>
        <w:rPr>
          <w:rFonts w:ascii="Garamond" w:hAnsi="Garamond"/>
          <w:b/>
          <w:sz w:val="20"/>
          <w:szCs w:val="20"/>
        </w:rPr>
        <w:t xml:space="preserve">Dati medi per dimensione demografica dei comuni. </w:t>
      </w:r>
      <w:r w:rsidRPr="00031861">
        <w:rPr>
          <w:rFonts w:ascii="Garamond" w:hAnsi="Garamond"/>
          <w:b/>
          <w:sz w:val="20"/>
          <w:szCs w:val="20"/>
        </w:rPr>
        <w:t>Valori %.</w:t>
      </w:r>
    </w:p>
    <w:tbl>
      <w:tblPr>
        <w:tblW w:w="4880" w:type="dxa"/>
        <w:tblInd w:w="55" w:type="dxa"/>
        <w:tblCellMar>
          <w:left w:w="70" w:type="dxa"/>
          <w:right w:w="70" w:type="dxa"/>
        </w:tblCellMar>
        <w:tblLook w:val="04A0"/>
      </w:tblPr>
      <w:tblGrid>
        <w:gridCol w:w="2020"/>
        <w:gridCol w:w="700"/>
        <w:gridCol w:w="700"/>
        <w:gridCol w:w="700"/>
        <w:gridCol w:w="760"/>
      </w:tblGrid>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2009</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2010</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2011</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2012</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Fino a 3.000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-0,7</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8,2</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4,5</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0,8</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3.001 - 5.000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1,5</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0,8</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5,2</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0,5</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5.001 - 10.000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3,5</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1,2</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-0,3</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2,9</w:t>
            </w:r>
          </w:p>
        </w:tc>
      </w:tr>
      <w:tr w:rsidR="00D77B0E" w:rsidRPr="004E328C" w:rsidTr="00D73F13">
        <w:trPr>
          <w:trHeight w:val="24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10.001 – 20.000 Abitanti</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-1,4</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-9,9</w:t>
            </w: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-4,6</w:t>
            </w: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-7,2</w:t>
            </w:r>
          </w:p>
        </w:tc>
      </w:tr>
      <w:tr w:rsidR="00D77B0E" w:rsidRPr="004E328C" w:rsidTr="00D73F13">
        <w:trPr>
          <w:trHeight w:val="240"/>
        </w:trPr>
        <w:tc>
          <w:tcPr>
            <w:tcW w:w="2020" w:type="dxa"/>
            <w:tcBorders>
              <w:top w:val="nil"/>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Oltre 20.000 Abitanti (*)</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11,7</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-8,6</w:t>
            </w:r>
          </w:p>
        </w:tc>
        <w:tc>
          <w:tcPr>
            <w:tcW w:w="70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-2,4</w:t>
            </w:r>
          </w:p>
        </w:tc>
        <w:tc>
          <w:tcPr>
            <w:tcW w:w="760" w:type="dxa"/>
            <w:tcBorders>
              <w:top w:val="nil"/>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-6,0</w:t>
            </w:r>
          </w:p>
        </w:tc>
      </w:tr>
      <w:tr w:rsidR="00D77B0E" w:rsidRPr="004E328C" w:rsidTr="00D73F13">
        <w:trPr>
          <w:trHeight w:val="7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Comune di Bergamo</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6,2</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-3,6</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-4,0</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-2,1</w:t>
            </w:r>
          </w:p>
        </w:tc>
      </w:tr>
      <w:tr w:rsidR="00D77B0E" w:rsidRPr="004E328C" w:rsidTr="00D73F13">
        <w:trPr>
          <w:trHeight w:val="98"/>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color w:val="000000"/>
                <w:sz w:val="18"/>
                <w:szCs w:val="18"/>
              </w:rPr>
            </w:pPr>
            <w:r w:rsidRPr="004E328C">
              <w:rPr>
                <w:rFonts w:ascii="Garamond" w:hAnsi="Garamond" w:cs="Calibri"/>
                <w:color w:val="000000"/>
                <w:sz w:val="18"/>
                <w:szCs w:val="18"/>
              </w:rPr>
              <w:t>Provincia di Bergamo</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3,7</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-2,2</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-0,8</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color w:val="000000"/>
                <w:sz w:val="18"/>
                <w:szCs w:val="18"/>
              </w:rPr>
            </w:pPr>
            <w:r w:rsidRPr="004E328C">
              <w:rPr>
                <w:rFonts w:ascii="Garamond" w:hAnsi="Garamond" w:cs="Calibri"/>
                <w:color w:val="000000"/>
                <w:sz w:val="18"/>
                <w:szCs w:val="18"/>
              </w:rPr>
              <w:t>-0,9</w:t>
            </w:r>
          </w:p>
        </w:tc>
      </w:tr>
      <w:tr w:rsidR="00D77B0E" w:rsidRPr="004E328C" w:rsidTr="00D73F13">
        <w:trPr>
          <w:trHeight w:val="70"/>
        </w:trPr>
        <w:tc>
          <w:tcPr>
            <w:tcW w:w="2020" w:type="dxa"/>
            <w:tcBorders>
              <w:top w:val="nil"/>
              <w:left w:val="nil"/>
              <w:bottom w:val="nil"/>
              <w:right w:val="nil"/>
            </w:tcBorders>
            <w:shd w:val="clear" w:color="auto" w:fill="auto"/>
            <w:noWrap/>
            <w:vAlign w:val="bottom"/>
            <w:hideMark/>
          </w:tcPr>
          <w:p w:rsidR="00D77B0E" w:rsidRPr="004E328C" w:rsidRDefault="00D77B0E" w:rsidP="00D73F13">
            <w:pP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0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c>
          <w:tcPr>
            <w:tcW w:w="760" w:type="dxa"/>
            <w:tcBorders>
              <w:top w:val="nil"/>
              <w:left w:val="nil"/>
              <w:bottom w:val="nil"/>
              <w:right w:val="nil"/>
            </w:tcBorders>
            <w:shd w:val="clear" w:color="auto" w:fill="auto"/>
            <w:noWrap/>
            <w:vAlign w:val="bottom"/>
            <w:hideMark/>
          </w:tcPr>
          <w:p w:rsidR="00D77B0E" w:rsidRPr="004E328C" w:rsidRDefault="00D77B0E" w:rsidP="00D73F13">
            <w:pPr>
              <w:jc w:val="center"/>
              <w:rPr>
                <w:rFonts w:ascii="Garamond" w:hAnsi="Garamond" w:cs="Calibri"/>
                <w:color w:val="000000"/>
                <w:sz w:val="10"/>
                <w:szCs w:val="10"/>
              </w:rPr>
            </w:pPr>
          </w:p>
        </w:tc>
      </w:tr>
      <w:tr w:rsidR="00D77B0E" w:rsidRPr="004E328C" w:rsidTr="00D73F13">
        <w:trPr>
          <w:trHeight w:val="240"/>
        </w:trPr>
        <w:tc>
          <w:tcPr>
            <w:tcW w:w="202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rPr>
                <w:rFonts w:ascii="Garamond" w:hAnsi="Garamond" w:cs="Calibri"/>
                <w:b/>
                <w:bCs/>
                <w:color w:val="000000"/>
                <w:sz w:val="18"/>
                <w:szCs w:val="18"/>
              </w:rPr>
            </w:pPr>
            <w:r w:rsidRPr="004E328C">
              <w:rPr>
                <w:rFonts w:ascii="Garamond" w:hAnsi="Garamond" w:cs="Calibri"/>
                <w:b/>
                <w:bCs/>
                <w:color w:val="000000"/>
                <w:sz w:val="18"/>
                <w:szCs w:val="18"/>
              </w:rPr>
              <w:t>Lombardia</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0,6</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-0,1</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0,0</w:t>
            </w:r>
          </w:p>
        </w:tc>
        <w:tc>
          <w:tcPr>
            <w:tcW w:w="760" w:type="dxa"/>
            <w:tcBorders>
              <w:top w:val="single" w:sz="4" w:space="0" w:color="auto"/>
              <w:left w:val="nil"/>
              <w:bottom w:val="single" w:sz="4" w:space="0" w:color="auto"/>
              <w:right w:val="nil"/>
            </w:tcBorders>
            <w:shd w:val="clear" w:color="auto" w:fill="auto"/>
            <w:noWrap/>
            <w:vAlign w:val="bottom"/>
            <w:hideMark/>
          </w:tcPr>
          <w:p w:rsidR="00D77B0E" w:rsidRPr="004E328C" w:rsidRDefault="00D77B0E" w:rsidP="00D73F13">
            <w:pPr>
              <w:jc w:val="center"/>
              <w:rPr>
                <w:rFonts w:ascii="Garamond" w:hAnsi="Garamond" w:cs="Calibri"/>
                <w:b/>
                <w:bCs/>
                <w:color w:val="000000"/>
                <w:sz w:val="18"/>
                <w:szCs w:val="18"/>
              </w:rPr>
            </w:pPr>
            <w:r w:rsidRPr="004E328C">
              <w:rPr>
                <w:rFonts w:ascii="Garamond" w:hAnsi="Garamond" w:cs="Calibri"/>
                <w:b/>
                <w:bCs/>
                <w:color w:val="000000"/>
                <w:sz w:val="18"/>
                <w:szCs w:val="18"/>
              </w:rPr>
              <w:t>-2,7</w:t>
            </w:r>
          </w:p>
        </w:tc>
      </w:tr>
    </w:tbl>
    <w:p w:rsidR="00D77B0E" w:rsidRPr="00522DF7" w:rsidRDefault="00D77B0E" w:rsidP="00D77B0E">
      <w:pPr>
        <w:rPr>
          <w:rFonts w:ascii="Cambria" w:hAnsi="Cambria" w:cs="Verdana"/>
          <w:i/>
          <w:sz w:val="18"/>
          <w:szCs w:val="18"/>
        </w:rPr>
      </w:pPr>
      <w:r w:rsidRPr="00522DF7">
        <w:rPr>
          <w:rFonts w:ascii="Cambria" w:hAnsi="Cambria" w:cs="Verdana"/>
          <w:i/>
          <w:sz w:val="18"/>
          <w:szCs w:val="18"/>
        </w:rPr>
        <w:t xml:space="preserve">Fonte: Elaborazioni su dati del Ministero dell’Interno – </w:t>
      </w:r>
      <w:r>
        <w:rPr>
          <w:rFonts w:ascii="Cambria" w:hAnsi="Cambria" w:cs="Verdana"/>
          <w:i/>
          <w:sz w:val="18"/>
          <w:szCs w:val="18"/>
        </w:rPr>
        <w:t>bilanci di previsione dei comuni</w:t>
      </w:r>
    </w:p>
    <w:p w:rsidR="00D77B0E" w:rsidRPr="007B1B13" w:rsidRDefault="00D77B0E" w:rsidP="00D77B0E">
      <w:pPr>
        <w:rPr>
          <w:rFonts w:ascii="Garamond" w:hAnsi="Garamond"/>
          <w:sz w:val="20"/>
          <w:szCs w:val="20"/>
        </w:rPr>
      </w:pPr>
      <w:r w:rsidRPr="007B1B13">
        <w:rPr>
          <w:rFonts w:ascii="Garamond" w:hAnsi="Garamond"/>
          <w:sz w:val="20"/>
          <w:szCs w:val="20"/>
        </w:rPr>
        <w:t xml:space="preserve">(*) comune di </w:t>
      </w:r>
      <w:r>
        <w:rPr>
          <w:rFonts w:ascii="Garamond" w:hAnsi="Garamond"/>
          <w:sz w:val="20"/>
          <w:szCs w:val="20"/>
        </w:rPr>
        <w:t>Bergamo</w:t>
      </w:r>
      <w:r w:rsidRPr="007B1B13">
        <w:rPr>
          <w:rFonts w:ascii="Garamond" w:hAnsi="Garamond"/>
          <w:sz w:val="20"/>
          <w:szCs w:val="20"/>
        </w:rPr>
        <w:t xml:space="preserve"> escluso</w:t>
      </w:r>
    </w:p>
    <w:p w:rsidR="00D77B0E" w:rsidRDefault="00D77B0E" w:rsidP="00D77B0E">
      <w:pPr>
        <w:rPr>
          <w:rFonts w:ascii="Garamond" w:hAnsi="Garamond"/>
          <w:b/>
          <w:sz w:val="20"/>
          <w:szCs w:val="20"/>
        </w:rPr>
      </w:pPr>
    </w:p>
    <w:p w:rsidR="00D77B0E" w:rsidRPr="00032734" w:rsidRDefault="00D77B0E" w:rsidP="00D77B0E">
      <w:pPr>
        <w:spacing w:before="360" w:line="360" w:lineRule="auto"/>
        <w:jc w:val="both"/>
      </w:pPr>
      <w:r w:rsidRPr="00032734">
        <w:t xml:space="preserve">In questa analisi, comunque, bisogna ovviamente tenere presenta la possibilità che il dato venga in qualche modo falsato dal ricorso a soggetti esterni per l’erogazione di prestazioni assistenziali. </w:t>
      </w:r>
      <w:r>
        <w:t xml:space="preserve">Ad ogni modo, </w:t>
      </w:r>
      <w:r w:rsidRPr="00032734">
        <w:t xml:space="preserve">appare piuttosto palese come tale capitolo di spesa abbia nel periodo in esame un andamento </w:t>
      </w:r>
      <w:r>
        <w:t xml:space="preserve">assolutamente non </w:t>
      </w:r>
      <w:r w:rsidRPr="00032734">
        <w:t>correlato alla dinamica delle entrate.</w:t>
      </w:r>
    </w:p>
    <w:p w:rsidR="00D77B0E" w:rsidRDefault="00D77B0E" w:rsidP="00D77B0E">
      <w:pPr>
        <w:spacing w:after="240" w:line="360" w:lineRule="auto"/>
        <w:jc w:val="both"/>
      </w:pPr>
      <w:r w:rsidRPr="00032734">
        <w:t xml:space="preserve">Se si esamina più in generale la spesa destinata al “welfare allargato” (spesa per il sociale in senso stretto, cultura, istruzione, sport e tempo libero), </w:t>
      </w:r>
      <w:r>
        <w:t>t</w:t>
      </w:r>
      <w:r w:rsidRPr="00032734">
        <w:t xml:space="preserve">ra </w:t>
      </w:r>
      <w:r>
        <w:t xml:space="preserve">il 2008 ed il 2012 osserviamo una riduzione degli stanziamenti inziali nominali (-1,4%), </w:t>
      </w:r>
      <w:r w:rsidRPr="00032734">
        <w:t>un</w:t>
      </w:r>
      <w:r>
        <w:t xml:space="preserve"> decremento che incrementa ulteriormente il gap che separa il valore medio degli stanziamenti iniziali rilevati nella provincia di Bergamo (245,3 euro nel 2012) dal dato regionale (308,5 euro). </w:t>
      </w:r>
    </w:p>
    <w:p w:rsidR="00D77B0E" w:rsidRDefault="00D77B0E" w:rsidP="00D77B0E">
      <w:pPr>
        <w:rPr>
          <w:rFonts w:ascii="Garamond" w:hAnsi="Garamond"/>
          <w:b/>
          <w:sz w:val="20"/>
          <w:szCs w:val="20"/>
        </w:rPr>
      </w:pPr>
      <w:r>
        <w:rPr>
          <w:rFonts w:ascii="Garamond" w:hAnsi="Garamond"/>
          <w:b/>
          <w:sz w:val="20"/>
          <w:szCs w:val="20"/>
        </w:rPr>
        <w:t xml:space="preserve">Lombardia - Spesa per il welfare “allargato” </w:t>
      </w:r>
      <w:r w:rsidRPr="00BA34FF">
        <w:rPr>
          <w:rFonts w:ascii="Garamond" w:hAnsi="Garamond"/>
          <w:sz w:val="20"/>
          <w:szCs w:val="20"/>
        </w:rPr>
        <w:t>(sociale in senso stretto, cultura, istruzione, sport e tempo libero)</w:t>
      </w:r>
      <w:r w:rsidRPr="00BA34FF">
        <w:rPr>
          <w:rFonts w:ascii="Garamond" w:hAnsi="Garamond"/>
          <w:b/>
          <w:sz w:val="20"/>
          <w:szCs w:val="20"/>
        </w:rPr>
        <w:t>.</w:t>
      </w:r>
      <w:r>
        <w:rPr>
          <w:rFonts w:ascii="Garamond" w:hAnsi="Garamond"/>
          <w:b/>
          <w:sz w:val="20"/>
          <w:szCs w:val="20"/>
        </w:rPr>
        <w:t xml:space="preserve">  Stanziamenti pro-capite. Serie storica e variazioni interannuali. Dati medi provinciali. </w:t>
      </w:r>
      <w:r w:rsidRPr="00031861">
        <w:rPr>
          <w:rFonts w:ascii="Garamond" w:hAnsi="Garamond"/>
          <w:b/>
          <w:sz w:val="20"/>
          <w:szCs w:val="20"/>
        </w:rPr>
        <w:t xml:space="preserve">Valori </w:t>
      </w:r>
      <w:r>
        <w:rPr>
          <w:rFonts w:ascii="Garamond" w:hAnsi="Garamond"/>
          <w:b/>
          <w:sz w:val="20"/>
          <w:szCs w:val="20"/>
        </w:rPr>
        <w:t xml:space="preserve">in euro e </w:t>
      </w:r>
      <w:r w:rsidRPr="00031861">
        <w:rPr>
          <w:rFonts w:ascii="Garamond" w:hAnsi="Garamond"/>
          <w:b/>
          <w:sz w:val="20"/>
          <w:szCs w:val="20"/>
        </w:rPr>
        <w:t>%.</w:t>
      </w:r>
    </w:p>
    <w:tbl>
      <w:tblPr>
        <w:tblW w:w="8920" w:type="dxa"/>
        <w:tblInd w:w="55" w:type="dxa"/>
        <w:tblCellMar>
          <w:left w:w="70" w:type="dxa"/>
          <w:right w:w="70" w:type="dxa"/>
        </w:tblCellMar>
        <w:tblLook w:val="04A0"/>
      </w:tblPr>
      <w:tblGrid>
        <w:gridCol w:w="2020"/>
        <w:gridCol w:w="820"/>
        <w:gridCol w:w="820"/>
        <w:gridCol w:w="820"/>
        <w:gridCol w:w="820"/>
        <w:gridCol w:w="820"/>
        <w:gridCol w:w="700"/>
        <w:gridCol w:w="700"/>
        <w:gridCol w:w="700"/>
        <w:gridCol w:w="700"/>
      </w:tblGrid>
      <w:tr w:rsidR="00D77B0E" w:rsidRPr="00BA34FF" w:rsidTr="00D73F13">
        <w:trPr>
          <w:trHeight w:val="330"/>
        </w:trPr>
        <w:tc>
          <w:tcPr>
            <w:tcW w:w="2020" w:type="dxa"/>
            <w:vMerge w:val="restart"/>
            <w:tcBorders>
              <w:top w:val="single" w:sz="4" w:space="0" w:color="auto"/>
              <w:left w:val="nil"/>
              <w:bottom w:val="single" w:sz="4" w:space="0" w:color="000000"/>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 </w:t>
            </w:r>
          </w:p>
        </w:tc>
        <w:tc>
          <w:tcPr>
            <w:tcW w:w="6900" w:type="dxa"/>
            <w:gridSpan w:val="9"/>
            <w:tcBorders>
              <w:top w:val="single" w:sz="4" w:space="0" w:color="auto"/>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Spesa corrente pro-ca</w:t>
            </w:r>
            <w:r>
              <w:rPr>
                <w:rFonts w:ascii="Garamond" w:hAnsi="Garamond" w:cs="Calibri"/>
                <w:b/>
                <w:bCs/>
                <w:sz w:val="18"/>
                <w:szCs w:val="18"/>
              </w:rPr>
              <w:t>pite per il Welfare "allargato"</w:t>
            </w:r>
          </w:p>
        </w:tc>
      </w:tr>
      <w:tr w:rsidR="00D77B0E" w:rsidRPr="00BA34FF" w:rsidTr="00D73F13">
        <w:trPr>
          <w:trHeight w:val="450"/>
        </w:trPr>
        <w:tc>
          <w:tcPr>
            <w:tcW w:w="2020" w:type="dxa"/>
            <w:vMerge/>
            <w:tcBorders>
              <w:top w:val="single" w:sz="4" w:space="0" w:color="auto"/>
              <w:left w:val="nil"/>
              <w:bottom w:val="single" w:sz="4" w:space="0" w:color="000000"/>
              <w:right w:val="nil"/>
            </w:tcBorders>
            <w:vAlign w:val="center"/>
            <w:hideMark/>
          </w:tcPr>
          <w:p w:rsidR="00D77B0E" w:rsidRPr="00BA34FF" w:rsidRDefault="00D77B0E" w:rsidP="00D73F13">
            <w:pPr>
              <w:rPr>
                <w:rFonts w:ascii="Garamond" w:hAnsi="Garamond" w:cs="Calibri"/>
                <w:color w:val="000000"/>
                <w:sz w:val="18"/>
                <w:szCs w:val="18"/>
              </w:rPr>
            </w:pP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2008</w:t>
            </w: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2009</w:t>
            </w: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2010</w:t>
            </w: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2011</w:t>
            </w:r>
          </w:p>
        </w:tc>
        <w:tc>
          <w:tcPr>
            <w:tcW w:w="82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2012</w:t>
            </w:r>
          </w:p>
        </w:tc>
        <w:tc>
          <w:tcPr>
            <w:tcW w:w="70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6"/>
                <w:szCs w:val="16"/>
              </w:rPr>
            </w:pPr>
            <w:r w:rsidRPr="00BA34FF">
              <w:rPr>
                <w:rFonts w:ascii="Garamond" w:hAnsi="Garamond" w:cs="Calibri"/>
                <w:b/>
                <w:bCs/>
                <w:sz w:val="16"/>
                <w:szCs w:val="16"/>
              </w:rPr>
              <w:t>Var. 08/10</w:t>
            </w:r>
          </w:p>
        </w:tc>
        <w:tc>
          <w:tcPr>
            <w:tcW w:w="70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6"/>
                <w:szCs w:val="16"/>
              </w:rPr>
            </w:pPr>
            <w:r w:rsidRPr="00BA34FF">
              <w:rPr>
                <w:rFonts w:ascii="Garamond" w:hAnsi="Garamond" w:cs="Calibri"/>
                <w:b/>
                <w:bCs/>
                <w:sz w:val="16"/>
                <w:szCs w:val="16"/>
              </w:rPr>
              <w:t>Var. 10/12</w:t>
            </w:r>
          </w:p>
        </w:tc>
        <w:tc>
          <w:tcPr>
            <w:tcW w:w="70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6"/>
                <w:szCs w:val="16"/>
              </w:rPr>
            </w:pPr>
            <w:r w:rsidRPr="00BA34FF">
              <w:rPr>
                <w:rFonts w:ascii="Garamond" w:hAnsi="Garamond" w:cs="Calibri"/>
                <w:b/>
                <w:bCs/>
                <w:sz w:val="16"/>
                <w:szCs w:val="16"/>
              </w:rPr>
              <w:t>Var. 11/12</w:t>
            </w:r>
          </w:p>
        </w:tc>
        <w:tc>
          <w:tcPr>
            <w:tcW w:w="700" w:type="dxa"/>
            <w:tcBorders>
              <w:top w:val="nil"/>
              <w:left w:val="nil"/>
              <w:bottom w:val="single" w:sz="4" w:space="0" w:color="auto"/>
              <w:right w:val="nil"/>
            </w:tcBorders>
            <w:shd w:val="clear" w:color="auto" w:fill="auto"/>
            <w:vAlign w:val="center"/>
            <w:hideMark/>
          </w:tcPr>
          <w:p w:rsidR="00D77B0E" w:rsidRPr="00BA34FF" w:rsidRDefault="00D77B0E" w:rsidP="00D73F13">
            <w:pPr>
              <w:jc w:val="center"/>
              <w:rPr>
                <w:rFonts w:ascii="Garamond" w:hAnsi="Garamond" w:cs="Calibri"/>
                <w:b/>
                <w:bCs/>
                <w:sz w:val="16"/>
                <w:szCs w:val="16"/>
              </w:rPr>
            </w:pPr>
            <w:r w:rsidRPr="00BA34FF">
              <w:rPr>
                <w:rFonts w:ascii="Garamond" w:hAnsi="Garamond" w:cs="Calibri"/>
                <w:b/>
                <w:bCs/>
                <w:sz w:val="16"/>
                <w:szCs w:val="16"/>
              </w:rPr>
              <w:t>Var. 08/12</w:t>
            </w:r>
          </w:p>
        </w:tc>
      </w:tr>
      <w:tr w:rsidR="00D77B0E" w:rsidRPr="001C58BB" w:rsidTr="00D73F13">
        <w:trPr>
          <w:trHeight w:val="240"/>
        </w:trPr>
        <w:tc>
          <w:tcPr>
            <w:tcW w:w="2020" w:type="dxa"/>
            <w:tcBorders>
              <w:top w:val="nil"/>
              <w:left w:val="nil"/>
              <w:bottom w:val="nil"/>
              <w:right w:val="nil"/>
            </w:tcBorders>
            <w:shd w:val="clear" w:color="auto" w:fill="auto"/>
            <w:vAlign w:val="center"/>
            <w:hideMark/>
          </w:tcPr>
          <w:p w:rsidR="00D77B0E" w:rsidRPr="001C58BB" w:rsidRDefault="00D77B0E" w:rsidP="00D73F13">
            <w:pPr>
              <w:rPr>
                <w:rFonts w:ascii="Garamond" w:hAnsi="Garamond" w:cs="Calibri"/>
                <w:b/>
                <w:color w:val="000000"/>
                <w:sz w:val="18"/>
                <w:szCs w:val="18"/>
              </w:rPr>
            </w:pPr>
            <w:r w:rsidRPr="001C58BB">
              <w:rPr>
                <w:rFonts w:ascii="Garamond" w:hAnsi="Garamond" w:cs="Calibri"/>
                <w:b/>
                <w:color w:val="000000"/>
                <w:sz w:val="18"/>
                <w:szCs w:val="18"/>
              </w:rPr>
              <w:t>Bergamo</w:t>
            </w:r>
          </w:p>
        </w:tc>
        <w:tc>
          <w:tcPr>
            <w:tcW w:w="820" w:type="dxa"/>
            <w:tcBorders>
              <w:top w:val="nil"/>
              <w:left w:val="nil"/>
              <w:bottom w:val="nil"/>
              <w:right w:val="nil"/>
            </w:tcBorders>
            <w:shd w:val="clear" w:color="auto" w:fill="auto"/>
            <w:noWrap/>
            <w:vAlign w:val="center"/>
            <w:hideMark/>
          </w:tcPr>
          <w:p w:rsidR="00D77B0E" w:rsidRPr="001C58BB" w:rsidRDefault="00D77B0E" w:rsidP="00D73F13">
            <w:pPr>
              <w:jc w:val="center"/>
              <w:rPr>
                <w:rFonts w:ascii="Garamond" w:hAnsi="Garamond" w:cs="Calibri"/>
                <w:b/>
                <w:sz w:val="18"/>
                <w:szCs w:val="18"/>
              </w:rPr>
            </w:pPr>
            <w:r w:rsidRPr="001C58BB">
              <w:rPr>
                <w:rFonts w:ascii="Garamond" w:hAnsi="Garamond" w:cs="Calibri"/>
                <w:b/>
                <w:sz w:val="18"/>
                <w:szCs w:val="18"/>
              </w:rPr>
              <w:t>248,8</w:t>
            </w:r>
          </w:p>
        </w:tc>
        <w:tc>
          <w:tcPr>
            <w:tcW w:w="820" w:type="dxa"/>
            <w:tcBorders>
              <w:top w:val="nil"/>
              <w:left w:val="nil"/>
              <w:bottom w:val="nil"/>
              <w:right w:val="nil"/>
            </w:tcBorders>
            <w:shd w:val="clear" w:color="auto" w:fill="auto"/>
            <w:noWrap/>
            <w:vAlign w:val="center"/>
            <w:hideMark/>
          </w:tcPr>
          <w:p w:rsidR="00D77B0E" w:rsidRPr="001C58BB" w:rsidRDefault="00D77B0E" w:rsidP="00D73F13">
            <w:pPr>
              <w:jc w:val="center"/>
              <w:rPr>
                <w:rFonts w:ascii="Garamond" w:hAnsi="Garamond" w:cs="Calibri"/>
                <w:b/>
                <w:sz w:val="18"/>
                <w:szCs w:val="18"/>
              </w:rPr>
            </w:pPr>
            <w:r w:rsidRPr="001C58BB">
              <w:rPr>
                <w:rFonts w:ascii="Garamond" w:hAnsi="Garamond" w:cs="Calibri"/>
                <w:b/>
                <w:sz w:val="18"/>
                <w:szCs w:val="18"/>
              </w:rPr>
              <w:t>251,0</w:t>
            </w:r>
          </w:p>
        </w:tc>
        <w:tc>
          <w:tcPr>
            <w:tcW w:w="820" w:type="dxa"/>
            <w:tcBorders>
              <w:top w:val="nil"/>
              <w:left w:val="nil"/>
              <w:bottom w:val="nil"/>
              <w:right w:val="nil"/>
            </w:tcBorders>
            <w:shd w:val="clear" w:color="auto" w:fill="auto"/>
            <w:noWrap/>
            <w:vAlign w:val="center"/>
            <w:hideMark/>
          </w:tcPr>
          <w:p w:rsidR="00D77B0E" w:rsidRPr="001C58BB" w:rsidRDefault="00D77B0E" w:rsidP="00D73F13">
            <w:pPr>
              <w:jc w:val="center"/>
              <w:rPr>
                <w:rFonts w:ascii="Garamond" w:hAnsi="Garamond" w:cs="Calibri"/>
                <w:b/>
                <w:sz w:val="18"/>
                <w:szCs w:val="18"/>
              </w:rPr>
            </w:pPr>
            <w:r w:rsidRPr="001C58BB">
              <w:rPr>
                <w:rFonts w:ascii="Garamond" w:hAnsi="Garamond" w:cs="Calibri"/>
                <w:b/>
                <w:sz w:val="18"/>
                <w:szCs w:val="18"/>
              </w:rPr>
              <w:t>247,8</w:t>
            </w:r>
          </w:p>
        </w:tc>
        <w:tc>
          <w:tcPr>
            <w:tcW w:w="820" w:type="dxa"/>
            <w:tcBorders>
              <w:top w:val="nil"/>
              <w:left w:val="nil"/>
              <w:bottom w:val="nil"/>
              <w:right w:val="nil"/>
            </w:tcBorders>
            <w:shd w:val="clear" w:color="auto" w:fill="auto"/>
            <w:noWrap/>
            <w:vAlign w:val="center"/>
            <w:hideMark/>
          </w:tcPr>
          <w:p w:rsidR="00D77B0E" w:rsidRPr="001C58BB" w:rsidRDefault="00D77B0E" w:rsidP="00D73F13">
            <w:pPr>
              <w:jc w:val="center"/>
              <w:rPr>
                <w:rFonts w:ascii="Garamond" w:hAnsi="Garamond" w:cs="Calibri"/>
                <w:b/>
                <w:sz w:val="18"/>
                <w:szCs w:val="18"/>
              </w:rPr>
            </w:pPr>
            <w:r w:rsidRPr="001C58BB">
              <w:rPr>
                <w:rFonts w:ascii="Garamond" w:hAnsi="Garamond" w:cs="Calibri"/>
                <w:b/>
                <w:sz w:val="18"/>
                <w:szCs w:val="18"/>
              </w:rPr>
              <w:t>245,1</w:t>
            </w:r>
          </w:p>
        </w:tc>
        <w:tc>
          <w:tcPr>
            <w:tcW w:w="820" w:type="dxa"/>
            <w:tcBorders>
              <w:top w:val="nil"/>
              <w:left w:val="nil"/>
              <w:bottom w:val="nil"/>
              <w:right w:val="nil"/>
            </w:tcBorders>
            <w:shd w:val="clear" w:color="auto" w:fill="auto"/>
            <w:noWrap/>
            <w:vAlign w:val="center"/>
            <w:hideMark/>
          </w:tcPr>
          <w:p w:rsidR="00D77B0E" w:rsidRPr="001C58BB" w:rsidRDefault="00D77B0E" w:rsidP="00D73F13">
            <w:pPr>
              <w:jc w:val="center"/>
              <w:rPr>
                <w:rFonts w:ascii="Garamond" w:hAnsi="Garamond" w:cs="Calibri"/>
                <w:b/>
                <w:sz w:val="18"/>
                <w:szCs w:val="18"/>
              </w:rPr>
            </w:pPr>
            <w:r w:rsidRPr="001C58BB">
              <w:rPr>
                <w:rFonts w:ascii="Garamond" w:hAnsi="Garamond" w:cs="Calibri"/>
                <w:b/>
                <w:sz w:val="18"/>
                <w:szCs w:val="18"/>
              </w:rPr>
              <w:t>245,3</w:t>
            </w:r>
          </w:p>
        </w:tc>
        <w:tc>
          <w:tcPr>
            <w:tcW w:w="700" w:type="dxa"/>
            <w:tcBorders>
              <w:top w:val="nil"/>
              <w:left w:val="nil"/>
              <w:bottom w:val="nil"/>
              <w:right w:val="nil"/>
            </w:tcBorders>
            <w:shd w:val="clear" w:color="auto" w:fill="auto"/>
            <w:noWrap/>
            <w:vAlign w:val="center"/>
            <w:hideMark/>
          </w:tcPr>
          <w:p w:rsidR="00D77B0E" w:rsidRPr="001C58BB" w:rsidRDefault="00D77B0E" w:rsidP="00D73F13">
            <w:pPr>
              <w:jc w:val="center"/>
              <w:rPr>
                <w:rFonts w:ascii="Garamond" w:hAnsi="Garamond" w:cs="Calibri"/>
                <w:b/>
                <w:sz w:val="18"/>
                <w:szCs w:val="18"/>
              </w:rPr>
            </w:pPr>
            <w:r w:rsidRPr="001C58BB">
              <w:rPr>
                <w:rFonts w:ascii="Garamond" w:hAnsi="Garamond" w:cs="Calibri"/>
                <w:b/>
                <w:sz w:val="18"/>
                <w:szCs w:val="18"/>
              </w:rPr>
              <w:t>-0,4%</w:t>
            </w:r>
          </w:p>
        </w:tc>
        <w:tc>
          <w:tcPr>
            <w:tcW w:w="700" w:type="dxa"/>
            <w:tcBorders>
              <w:top w:val="nil"/>
              <w:left w:val="nil"/>
              <w:bottom w:val="nil"/>
              <w:right w:val="nil"/>
            </w:tcBorders>
            <w:shd w:val="clear" w:color="auto" w:fill="auto"/>
            <w:noWrap/>
            <w:vAlign w:val="center"/>
            <w:hideMark/>
          </w:tcPr>
          <w:p w:rsidR="00D77B0E" w:rsidRPr="001C58BB" w:rsidRDefault="00D77B0E" w:rsidP="00D73F13">
            <w:pPr>
              <w:jc w:val="center"/>
              <w:rPr>
                <w:rFonts w:ascii="Garamond" w:hAnsi="Garamond" w:cs="Calibri"/>
                <w:b/>
                <w:sz w:val="18"/>
                <w:szCs w:val="18"/>
              </w:rPr>
            </w:pPr>
            <w:r w:rsidRPr="001C58BB">
              <w:rPr>
                <w:rFonts w:ascii="Garamond" w:hAnsi="Garamond" w:cs="Calibri"/>
                <w:b/>
                <w:sz w:val="18"/>
                <w:szCs w:val="18"/>
              </w:rPr>
              <w:t>-1,0%</w:t>
            </w:r>
          </w:p>
        </w:tc>
        <w:tc>
          <w:tcPr>
            <w:tcW w:w="700" w:type="dxa"/>
            <w:tcBorders>
              <w:top w:val="nil"/>
              <w:left w:val="nil"/>
              <w:bottom w:val="nil"/>
              <w:right w:val="nil"/>
            </w:tcBorders>
            <w:shd w:val="clear" w:color="auto" w:fill="auto"/>
            <w:noWrap/>
            <w:vAlign w:val="center"/>
            <w:hideMark/>
          </w:tcPr>
          <w:p w:rsidR="00D77B0E" w:rsidRPr="001C58BB" w:rsidRDefault="00D77B0E" w:rsidP="00D73F13">
            <w:pPr>
              <w:jc w:val="center"/>
              <w:rPr>
                <w:rFonts w:ascii="Garamond" w:hAnsi="Garamond" w:cs="Calibri"/>
                <w:b/>
                <w:sz w:val="18"/>
                <w:szCs w:val="18"/>
              </w:rPr>
            </w:pPr>
            <w:r w:rsidRPr="001C58BB">
              <w:rPr>
                <w:rFonts w:ascii="Garamond" w:hAnsi="Garamond" w:cs="Calibri"/>
                <w:b/>
                <w:sz w:val="18"/>
                <w:szCs w:val="18"/>
              </w:rPr>
              <w:t>0,1%</w:t>
            </w:r>
          </w:p>
        </w:tc>
        <w:tc>
          <w:tcPr>
            <w:tcW w:w="700" w:type="dxa"/>
            <w:tcBorders>
              <w:top w:val="nil"/>
              <w:left w:val="nil"/>
              <w:bottom w:val="nil"/>
              <w:right w:val="nil"/>
            </w:tcBorders>
            <w:shd w:val="clear" w:color="auto" w:fill="auto"/>
            <w:noWrap/>
            <w:vAlign w:val="center"/>
            <w:hideMark/>
          </w:tcPr>
          <w:p w:rsidR="00D77B0E" w:rsidRPr="001C58BB" w:rsidRDefault="00D77B0E" w:rsidP="00D73F13">
            <w:pPr>
              <w:jc w:val="center"/>
              <w:rPr>
                <w:rFonts w:ascii="Garamond" w:hAnsi="Garamond" w:cs="Calibri"/>
                <w:b/>
                <w:sz w:val="18"/>
                <w:szCs w:val="18"/>
              </w:rPr>
            </w:pPr>
            <w:r w:rsidRPr="001C58BB">
              <w:rPr>
                <w:rFonts w:ascii="Garamond" w:hAnsi="Garamond" w:cs="Calibri"/>
                <w:b/>
                <w:sz w:val="18"/>
                <w:szCs w:val="18"/>
              </w:rPr>
              <w:t>-1,4%</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Brescia</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269,0</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288,4</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289,6</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279,6</w:t>
            </w:r>
          </w:p>
        </w:tc>
        <w:tc>
          <w:tcPr>
            <w:tcW w:w="82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270,4</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7,7%</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-6,6%</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-3,3%</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0,5%</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Como</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246,8</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247,4</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247,7</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243,7</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245,2</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0,4%</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-1,0%</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0,6%</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-0,6%</w:t>
            </w:r>
          </w:p>
        </w:tc>
      </w:tr>
      <w:tr w:rsidR="00D77B0E" w:rsidRPr="00BA34FF" w:rsidTr="00D73F13">
        <w:trPr>
          <w:trHeight w:val="240"/>
        </w:trPr>
        <w:tc>
          <w:tcPr>
            <w:tcW w:w="2020" w:type="dxa"/>
            <w:tcBorders>
              <w:top w:val="nil"/>
              <w:left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Cremona</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298,9</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307,4</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278,8</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281,7</w:t>
            </w:r>
          </w:p>
        </w:tc>
        <w:tc>
          <w:tcPr>
            <w:tcW w:w="820" w:type="dxa"/>
            <w:tcBorders>
              <w:top w:val="nil"/>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284,3</w:t>
            </w:r>
          </w:p>
        </w:tc>
        <w:tc>
          <w:tcPr>
            <w:tcW w:w="700" w:type="dxa"/>
            <w:tcBorders>
              <w:top w:val="nil"/>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-6,7%</w:t>
            </w:r>
          </w:p>
        </w:tc>
        <w:tc>
          <w:tcPr>
            <w:tcW w:w="700" w:type="dxa"/>
            <w:tcBorders>
              <w:top w:val="nil"/>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2,0%</w:t>
            </w:r>
          </w:p>
        </w:tc>
        <w:tc>
          <w:tcPr>
            <w:tcW w:w="700" w:type="dxa"/>
            <w:tcBorders>
              <w:top w:val="nil"/>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0,9%</w:t>
            </w:r>
          </w:p>
        </w:tc>
        <w:tc>
          <w:tcPr>
            <w:tcW w:w="700" w:type="dxa"/>
            <w:tcBorders>
              <w:top w:val="nil"/>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-4,9%</w:t>
            </w:r>
          </w:p>
        </w:tc>
      </w:tr>
      <w:tr w:rsidR="00D77B0E" w:rsidRPr="001C58BB" w:rsidTr="00D73F13">
        <w:trPr>
          <w:trHeight w:val="240"/>
        </w:trPr>
        <w:tc>
          <w:tcPr>
            <w:tcW w:w="2020" w:type="dxa"/>
            <w:tcBorders>
              <w:left w:val="nil"/>
              <w:right w:val="nil"/>
            </w:tcBorders>
            <w:shd w:val="clear" w:color="auto" w:fill="auto"/>
            <w:vAlign w:val="center"/>
            <w:hideMark/>
          </w:tcPr>
          <w:p w:rsidR="00D77B0E" w:rsidRPr="001C58BB" w:rsidRDefault="00D77B0E" w:rsidP="00D73F13">
            <w:pPr>
              <w:rPr>
                <w:rFonts w:ascii="Garamond" w:hAnsi="Garamond" w:cs="Calibri"/>
                <w:color w:val="000000"/>
                <w:sz w:val="18"/>
                <w:szCs w:val="18"/>
              </w:rPr>
            </w:pPr>
            <w:r w:rsidRPr="001C58BB">
              <w:rPr>
                <w:rFonts w:ascii="Garamond" w:hAnsi="Garamond" w:cs="Calibri"/>
                <w:color w:val="000000"/>
                <w:sz w:val="18"/>
                <w:szCs w:val="18"/>
              </w:rPr>
              <w:t>Lecco</w:t>
            </w:r>
          </w:p>
        </w:tc>
        <w:tc>
          <w:tcPr>
            <w:tcW w:w="820" w:type="dxa"/>
            <w:tcBorders>
              <w:left w:val="nil"/>
              <w:right w:val="nil"/>
            </w:tcBorders>
            <w:shd w:val="clear" w:color="auto" w:fill="auto"/>
            <w:noWrap/>
            <w:vAlign w:val="bottom"/>
            <w:hideMark/>
          </w:tcPr>
          <w:p w:rsidR="00D77B0E" w:rsidRPr="001C58BB" w:rsidRDefault="00D77B0E" w:rsidP="00D73F13">
            <w:pPr>
              <w:jc w:val="center"/>
              <w:rPr>
                <w:rFonts w:ascii="Garamond" w:hAnsi="Garamond" w:cs="Calibri"/>
                <w:color w:val="000000"/>
                <w:sz w:val="18"/>
                <w:szCs w:val="18"/>
              </w:rPr>
            </w:pPr>
            <w:r w:rsidRPr="001C58BB">
              <w:rPr>
                <w:rFonts w:ascii="Garamond" w:hAnsi="Garamond" w:cs="Calibri"/>
                <w:color w:val="000000"/>
                <w:sz w:val="18"/>
                <w:szCs w:val="18"/>
              </w:rPr>
              <w:t>246,3</w:t>
            </w:r>
          </w:p>
        </w:tc>
        <w:tc>
          <w:tcPr>
            <w:tcW w:w="820" w:type="dxa"/>
            <w:tcBorders>
              <w:left w:val="nil"/>
              <w:right w:val="nil"/>
            </w:tcBorders>
            <w:shd w:val="clear" w:color="auto" w:fill="auto"/>
            <w:noWrap/>
            <w:vAlign w:val="bottom"/>
            <w:hideMark/>
          </w:tcPr>
          <w:p w:rsidR="00D77B0E" w:rsidRPr="001C58BB" w:rsidRDefault="00D77B0E" w:rsidP="00D73F13">
            <w:pPr>
              <w:jc w:val="center"/>
              <w:rPr>
                <w:rFonts w:ascii="Garamond" w:hAnsi="Garamond" w:cs="Calibri"/>
                <w:color w:val="000000"/>
                <w:sz w:val="18"/>
                <w:szCs w:val="18"/>
              </w:rPr>
            </w:pPr>
            <w:r w:rsidRPr="001C58BB">
              <w:rPr>
                <w:rFonts w:ascii="Garamond" w:hAnsi="Garamond" w:cs="Calibri"/>
                <w:color w:val="000000"/>
                <w:sz w:val="18"/>
                <w:szCs w:val="18"/>
              </w:rPr>
              <w:t>244,6</w:t>
            </w:r>
          </w:p>
        </w:tc>
        <w:tc>
          <w:tcPr>
            <w:tcW w:w="820" w:type="dxa"/>
            <w:tcBorders>
              <w:left w:val="nil"/>
              <w:right w:val="nil"/>
            </w:tcBorders>
            <w:shd w:val="clear" w:color="auto" w:fill="auto"/>
            <w:noWrap/>
            <w:vAlign w:val="bottom"/>
            <w:hideMark/>
          </w:tcPr>
          <w:p w:rsidR="00D77B0E" w:rsidRPr="001C58BB" w:rsidRDefault="00D77B0E" w:rsidP="00D73F13">
            <w:pPr>
              <w:jc w:val="center"/>
              <w:rPr>
                <w:rFonts w:ascii="Garamond" w:hAnsi="Garamond" w:cs="Calibri"/>
                <w:color w:val="000000"/>
                <w:sz w:val="18"/>
                <w:szCs w:val="18"/>
              </w:rPr>
            </w:pPr>
            <w:r w:rsidRPr="001C58BB">
              <w:rPr>
                <w:rFonts w:ascii="Garamond" w:hAnsi="Garamond" w:cs="Calibri"/>
                <w:color w:val="000000"/>
                <w:sz w:val="18"/>
                <w:szCs w:val="18"/>
              </w:rPr>
              <w:t>249,2</w:t>
            </w:r>
          </w:p>
        </w:tc>
        <w:tc>
          <w:tcPr>
            <w:tcW w:w="820" w:type="dxa"/>
            <w:tcBorders>
              <w:left w:val="nil"/>
              <w:right w:val="nil"/>
            </w:tcBorders>
            <w:shd w:val="clear" w:color="auto" w:fill="auto"/>
            <w:noWrap/>
            <w:vAlign w:val="bottom"/>
            <w:hideMark/>
          </w:tcPr>
          <w:p w:rsidR="00D77B0E" w:rsidRPr="001C58BB" w:rsidRDefault="00D77B0E" w:rsidP="00D73F13">
            <w:pPr>
              <w:jc w:val="center"/>
              <w:rPr>
                <w:rFonts w:ascii="Garamond" w:hAnsi="Garamond" w:cs="Calibri"/>
                <w:color w:val="000000"/>
                <w:sz w:val="18"/>
                <w:szCs w:val="18"/>
              </w:rPr>
            </w:pPr>
            <w:r w:rsidRPr="001C58BB">
              <w:rPr>
                <w:rFonts w:ascii="Garamond" w:hAnsi="Garamond" w:cs="Calibri"/>
                <w:color w:val="000000"/>
                <w:sz w:val="18"/>
                <w:szCs w:val="18"/>
              </w:rPr>
              <w:t>247,4</w:t>
            </w:r>
          </w:p>
        </w:tc>
        <w:tc>
          <w:tcPr>
            <w:tcW w:w="820" w:type="dxa"/>
            <w:tcBorders>
              <w:left w:val="nil"/>
              <w:right w:val="nil"/>
            </w:tcBorders>
            <w:shd w:val="clear" w:color="auto" w:fill="auto"/>
            <w:noWrap/>
            <w:vAlign w:val="bottom"/>
            <w:hideMark/>
          </w:tcPr>
          <w:p w:rsidR="00D77B0E" w:rsidRPr="001C58BB" w:rsidRDefault="00D77B0E" w:rsidP="00D73F13">
            <w:pPr>
              <w:jc w:val="center"/>
              <w:rPr>
                <w:rFonts w:ascii="Garamond" w:hAnsi="Garamond" w:cs="Calibri"/>
                <w:color w:val="000000"/>
                <w:sz w:val="18"/>
                <w:szCs w:val="18"/>
              </w:rPr>
            </w:pPr>
            <w:r w:rsidRPr="001C58BB">
              <w:rPr>
                <w:rFonts w:ascii="Garamond" w:hAnsi="Garamond" w:cs="Calibri"/>
                <w:color w:val="000000"/>
                <w:sz w:val="18"/>
                <w:szCs w:val="18"/>
              </w:rPr>
              <w:t>254,3</w:t>
            </w:r>
          </w:p>
        </w:tc>
        <w:tc>
          <w:tcPr>
            <w:tcW w:w="700" w:type="dxa"/>
            <w:tcBorders>
              <w:left w:val="nil"/>
              <w:right w:val="nil"/>
            </w:tcBorders>
            <w:shd w:val="clear" w:color="auto" w:fill="auto"/>
            <w:noWrap/>
            <w:vAlign w:val="center"/>
            <w:hideMark/>
          </w:tcPr>
          <w:p w:rsidR="00D77B0E" w:rsidRPr="001C58BB" w:rsidRDefault="00D77B0E" w:rsidP="00D73F13">
            <w:pPr>
              <w:jc w:val="center"/>
              <w:rPr>
                <w:rFonts w:ascii="Garamond" w:hAnsi="Garamond" w:cs="Calibri"/>
                <w:sz w:val="18"/>
                <w:szCs w:val="18"/>
              </w:rPr>
            </w:pPr>
            <w:r w:rsidRPr="001C58BB">
              <w:rPr>
                <w:rFonts w:ascii="Garamond" w:hAnsi="Garamond" w:cs="Calibri"/>
                <w:sz w:val="18"/>
                <w:szCs w:val="18"/>
              </w:rPr>
              <w:t>1,2%</w:t>
            </w:r>
          </w:p>
        </w:tc>
        <w:tc>
          <w:tcPr>
            <w:tcW w:w="700" w:type="dxa"/>
            <w:tcBorders>
              <w:left w:val="nil"/>
              <w:right w:val="nil"/>
            </w:tcBorders>
            <w:shd w:val="clear" w:color="auto" w:fill="auto"/>
            <w:noWrap/>
            <w:vAlign w:val="center"/>
            <w:hideMark/>
          </w:tcPr>
          <w:p w:rsidR="00D77B0E" w:rsidRPr="001C58BB" w:rsidRDefault="00D77B0E" w:rsidP="00D73F13">
            <w:pPr>
              <w:jc w:val="center"/>
              <w:rPr>
                <w:rFonts w:ascii="Garamond" w:hAnsi="Garamond" w:cs="Calibri"/>
                <w:sz w:val="18"/>
                <w:szCs w:val="18"/>
              </w:rPr>
            </w:pPr>
            <w:r w:rsidRPr="001C58BB">
              <w:rPr>
                <w:rFonts w:ascii="Garamond" w:hAnsi="Garamond" w:cs="Calibri"/>
                <w:sz w:val="18"/>
                <w:szCs w:val="18"/>
              </w:rPr>
              <w:t>2,0%</w:t>
            </w:r>
          </w:p>
        </w:tc>
        <w:tc>
          <w:tcPr>
            <w:tcW w:w="700" w:type="dxa"/>
            <w:tcBorders>
              <w:left w:val="nil"/>
              <w:right w:val="nil"/>
            </w:tcBorders>
            <w:shd w:val="clear" w:color="auto" w:fill="auto"/>
            <w:noWrap/>
            <w:vAlign w:val="center"/>
            <w:hideMark/>
          </w:tcPr>
          <w:p w:rsidR="00D77B0E" w:rsidRPr="001C58BB" w:rsidRDefault="00D77B0E" w:rsidP="00D73F13">
            <w:pPr>
              <w:jc w:val="center"/>
              <w:rPr>
                <w:rFonts w:ascii="Garamond" w:hAnsi="Garamond" w:cs="Calibri"/>
                <w:sz w:val="18"/>
                <w:szCs w:val="18"/>
              </w:rPr>
            </w:pPr>
            <w:r w:rsidRPr="001C58BB">
              <w:rPr>
                <w:rFonts w:ascii="Garamond" w:hAnsi="Garamond" w:cs="Calibri"/>
                <w:sz w:val="18"/>
                <w:szCs w:val="18"/>
              </w:rPr>
              <w:t>2,8%</w:t>
            </w:r>
          </w:p>
        </w:tc>
        <w:tc>
          <w:tcPr>
            <w:tcW w:w="700" w:type="dxa"/>
            <w:tcBorders>
              <w:left w:val="nil"/>
              <w:right w:val="nil"/>
            </w:tcBorders>
            <w:shd w:val="clear" w:color="auto" w:fill="auto"/>
            <w:noWrap/>
            <w:vAlign w:val="center"/>
            <w:hideMark/>
          </w:tcPr>
          <w:p w:rsidR="00D77B0E" w:rsidRPr="001C58BB" w:rsidRDefault="00D77B0E" w:rsidP="00D73F13">
            <w:pPr>
              <w:jc w:val="center"/>
              <w:rPr>
                <w:rFonts w:ascii="Garamond" w:hAnsi="Garamond" w:cs="Calibri"/>
                <w:sz w:val="18"/>
                <w:szCs w:val="18"/>
              </w:rPr>
            </w:pPr>
            <w:r w:rsidRPr="001C58BB">
              <w:rPr>
                <w:rFonts w:ascii="Garamond" w:hAnsi="Garamond" w:cs="Calibri"/>
                <w:sz w:val="18"/>
                <w:szCs w:val="18"/>
              </w:rPr>
              <w:t>3,2%</w:t>
            </w:r>
          </w:p>
        </w:tc>
      </w:tr>
      <w:tr w:rsidR="00D77B0E" w:rsidRPr="00BA34FF" w:rsidTr="00D73F13">
        <w:trPr>
          <w:trHeight w:val="240"/>
        </w:trPr>
        <w:tc>
          <w:tcPr>
            <w:tcW w:w="2020" w:type="dxa"/>
            <w:tcBorders>
              <w:left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Lodi</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264,1</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258</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264,7</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263,7</w:t>
            </w:r>
          </w:p>
        </w:tc>
        <w:tc>
          <w:tcPr>
            <w:tcW w:w="820" w:type="dxa"/>
            <w:tcBorders>
              <w:left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264,8</w:t>
            </w:r>
          </w:p>
        </w:tc>
        <w:tc>
          <w:tcPr>
            <w:tcW w:w="700" w:type="dxa"/>
            <w:tcBorders>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0,2%</w:t>
            </w:r>
          </w:p>
        </w:tc>
        <w:tc>
          <w:tcPr>
            <w:tcW w:w="700" w:type="dxa"/>
            <w:tcBorders>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0,0%</w:t>
            </w:r>
          </w:p>
        </w:tc>
        <w:tc>
          <w:tcPr>
            <w:tcW w:w="700" w:type="dxa"/>
            <w:tcBorders>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0,4%</w:t>
            </w:r>
          </w:p>
        </w:tc>
        <w:tc>
          <w:tcPr>
            <w:tcW w:w="700" w:type="dxa"/>
            <w:tcBorders>
              <w:left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0,3%</w:t>
            </w:r>
          </w:p>
        </w:tc>
      </w:tr>
      <w:tr w:rsidR="00D77B0E" w:rsidRPr="00BA34FF" w:rsidTr="00D73F13">
        <w:trPr>
          <w:trHeight w:val="240"/>
        </w:trPr>
        <w:tc>
          <w:tcPr>
            <w:tcW w:w="2020" w:type="dxa"/>
            <w:tcBorders>
              <w:left w:val="nil"/>
              <w:right w:val="nil"/>
            </w:tcBorders>
            <w:shd w:val="clear" w:color="auto" w:fill="auto"/>
            <w:vAlign w:val="center"/>
            <w:hideMark/>
          </w:tcPr>
          <w:p w:rsidR="00D77B0E" w:rsidRPr="00F879B6" w:rsidRDefault="00D77B0E" w:rsidP="00D73F13">
            <w:pPr>
              <w:rPr>
                <w:rFonts w:ascii="Garamond" w:hAnsi="Garamond" w:cs="Calibri"/>
                <w:bCs/>
                <w:color w:val="000000"/>
                <w:sz w:val="18"/>
                <w:szCs w:val="18"/>
              </w:rPr>
            </w:pPr>
            <w:r w:rsidRPr="00F879B6">
              <w:rPr>
                <w:rFonts w:ascii="Garamond" w:hAnsi="Garamond" w:cs="Calibri"/>
                <w:bCs/>
                <w:color w:val="000000"/>
                <w:sz w:val="18"/>
                <w:szCs w:val="18"/>
              </w:rPr>
              <w:t>Mantova</w:t>
            </w:r>
          </w:p>
        </w:tc>
        <w:tc>
          <w:tcPr>
            <w:tcW w:w="820" w:type="dxa"/>
            <w:tcBorders>
              <w:left w:val="nil"/>
              <w:right w:val="nil"/>
            </w:tcBorders>
            <w:shd w:val="clear" w:color="auto" w:fill="auto"/>
            <w:noWrap/>
            <w:vAlign w:val="bottom"/>
            <w:hideMark/>
          </w:tcPr>
          <w:p w:rsidR="00D77B0E" w:rsidRPr="00F879B6" w:rsidRDefault="00D77B0E" w:rsidP="00D73F13">
            <w:pPr>
              <w:jc w:val="center"/>
              <w:rPr>
                <w:rFonts w:ascii="Garamond" w:hAnsi="Garamond" w:cs="Calibri"/>
                <w:bCs/>
                <w:color w:val="000000"/>
                <w:sz w:val="18"/>
                <w:szCs w:val="18"/>
              </w:rPr>
            </w:pPr>
            <w:r w:rsidRPr="00F879B6">
              <w:rPr>
                <w:rFonts w:ascii="Garamond" w:hAnsi="Garamond" w:cs="Calibri"/>
                <w:bCs/>
                <w:color w:val="000000"/>
                <w:sz w:val="18"/>
                <w:szCs w:val="18"/>
              </w:rPr>
              <w:t>294,8</w:t>
            </w:r>
          </w:p>
        </w:tc>
        <w:tc>
          <w:tcPr>
            <w:tcW w:w="820" w:type="dxa"/>
            <w:tcBorders>
              <w:left w:val="nil"/>
              <w:right w:val="nil"/>
            </w:tcBorders>
            <w:shd w:val="clear" w:color="auto" w:fill="auto"/>
            <w:noWrap/>
            <w:vAlign w:val="bottom"/>
            <w:hideMark/>
          </w:tcPr>
          <w:p w:rsidR="00D77B0E" w:rsidRPr="00F879B6" w:rsidRDefault="00D77B0E" w:rsidP="00D73F13">
            <w:pPr>
              <w:jc w:val="center"/>
              <w:rPr>
                <w:rFonts w:ascii="Garamond" w:hAnsi="Garamond" w:cs="Calibri"/>
                <w:bCs/>
                <w:color w:val="000000"/>
                <w:sz w:val="18"/>
                <w:szCs w:val="18"/>
              </w:rPr>
            </w:pPr>
            <w:r w:rsidRPr="00F879B6">
              <w:rPr>
                <w:rFonts w:ascii="Garamond" w:hAnsi="Garamond" w:cs="Calibri"/>
                <w:bCs/>
                <w:color w:val="000000"/>
                <w:sz w:val="18"/>
                <w:szCs w:val="18"/>
              </w:rPr>
              <w:t>295,7</w:t>
            </w:r>
          </w:p>
        </w:tc>
        <w:tc>
          <w:tcPr>
            <w:tcW w:w="820" w:type="dxa"/>
            <w:tcBorders>
              <w:left w:val="nil"/>
              <w:right w:val="nil"/>
            </w:tcBorders>
            <w:shd w:val="clear" w:color="auto" w:fill="auto"/>
            <w:noWrap/>
            <w:vAlign w:val="bottom"/>
            <w:hideMark/>
          </w:tcPr>
          <w:p w:rsidR="00D77B0E" w:rsidRPr="00F879B6" w:rsidRDefault="00D77B0E" w:rsidP="00D73F13">
            <w:pPr>
              <w:jc w:val="center"/>
              <w:rPr>
                <w:rFonts w:ascii="Garamond" w:hAnsi="Garamond" w:cs="Calibri"/>
                <w:bCs/>
                <w:color w:val="000000"/>
                <w:sz w:val="18"/>
                <w:szCs w:val="18"/>
              </w:rPr>
            </w:pPr>
            <w:r w:rsidRPr="00F879B6">
              <w:rPr>
                <w:rFonts w:ascii="Garamond" w:hAnsi="Garamond" w:cs="Calibri"/>
                <w:bCs/>
                <w:color w:val="000000"/>
                <w:sz w:val="18"/>
                <w:szCs w:val="18"/>
              </w:rPr>
              <w:t>300</w:t>
            </w:r>
          </w:p>
        </w:tc>
        <w:tc>
          <w:tcPr>
            <w:tcW w:w="820" w:type="dxa"/>
            <w:tcBorders>
              <w:left w:val="nil"/>
              <w:right w:val="nil"/>
            </w:tcBorders>
            <w:shd w:val="clear" w:color="auto" w:fill="auto"/>
            <w:noWrap/>
            <w:vAlign w:val="bottom"/>
            <w:hideMark/>
          </w:tcPr>
          <w:p w:rsidR="00D77B0E" w:rsidRPr="00F879B6" w:rsidRDefault="00D77B0E" w:rsidP="00D73F13">
            <w:pPr>
              <w:jc w:val="center"/>
              <w:rPr>
                <w:rFonts w:ascii="Garamond" w:hAnsi="Garamond" w:cs="Calibri"/>
                <w:bCs/>
                <w:color w:val="000000"/>
                <w:sz w:val="18"/>
                <w:szCs w:val="18"/>
              </w:rPr>
            </w:pPr>
            <w:r w:rsidRPr="00F879B6">
              <w:rPr>
                <w:rFonts w:ascii="Garamond" w:hAnsi="Garamond" w:cs="Calibri"/>
                <w:bCs/>
                <w:color w:val="000000"/>
                <w:sz w:val="18"/>
                <w:szCs w:val="18"/>
              </w:rPr>
              <w:t>289,8</w:t>
            </w:r>
          </w:p>
        </w:tc>
        <w:tc>
          <w:tcPr>
            <w:tcW w:w="820" w:type="dxa"/>
            <w:tcBorders>
              <w:left w:val="nil"/>
              <w:right w:val="nil"/>
            </w:tcBorders>
            <w:shd w:val="clear" w:color="auto" w:fill="auto"/>
            <w:noWrap/>
            <w:vAlign w:val="bottom"/>
            <w:hideMark/>
          </w:tcPr>
          <w:p w:rsidR="00D77B0E" w:rsidRPr="00F879B6" w:rsidRDefault="00D77B0E" w:rsidP="00D73F13">
            <w:pPr>
              <w:jc w:val="center"/>
              <w:rPr>
                <w:rFonts w:ascii="Garamond" w:hAnsi="Garamond" w:cs="Calibri"/>
                <w:bCs/>
                <w:color w:val="000000"/>
                <w:sz w:val="18"/>
                <w:szCs w:val="18"/>
              </w:rPr>
            </w:pPr>
            <w:r w:rsidRPr="00F879B6">
              <w:rPr>
                <w:rFonts w:ascii="Garamond" w:hAnsi="Garamond" w:cs="Calibri"/>
                <w:bCs/>
                <w:color w:val="000000"/>
                <w:sz w:val="18"/>
                <w:szCs w:val="18"/>
              </w:rPr>
              <w:t>298,2</w:t>
            </w:r>
          </w:p>
        </w:tc>
        <w:tc>
          <w:tcPr>
            <w:tcW w:w="700" w:type="dxa"/>
            <w:tcBorders>
              <w:left w:val="nil"/>
              <w:right w:val="nil"/>
            </w:tcBorders>
            <w:shd w:val="clear" w:color="auto" w:fill="auto"/>
            <w:noWrap/>
            <w:vAlign w:val="center"/>
            <w:hideMark/>
          </w:tcPr>
          <w:p w:rsidR="00D77B0E" w:rsidRPr="00F879B6" w:rsidRDefault="00D77B0E" w:rsidP="00D73F13">
            <w:pPr>
              <w:jc w:val="center"/>
              <w:rPr>
                <w:rFonts w:ascii="Garamond" w:hAnsi="Garamond" w:cs="Calibri"/>
                <w:bCs/>
                <w:sz w:val="18"/>
                <w:szCs w:val="18"/>
              </w:rPr>
            </w:pPr>
            <w:r w:rsidRPr="00F879B6">
              <w:rPr>
                <w:rFonts w:ascii="Garamond" w:hAnsi="Garamond" w:cs="Calibri"/>
                <w:bCs/>
                <w:sz w:val="18"/>
                <w:szCs w:val="18"/>
              </w:rPr>
              <w:t>1,8%</w:t>
            </w:r>
          </w:p>
        </w:tc>
        <w:tc>
          <w:tcPr>
            <w:tcW w:w="700" w:type="dxa"/>
            <w:tcBorders>
              <w:left w:val="nil"/>
              <w:right w:val="nil"/>
            </w:tcBorders>
            <w:shd w:val="clear" w:color="auto" w:fill="auto"/>
            <w:noWrap/>
            <w:vAlign w:val="center"/>
            <w:hideMark/>
          </w:tcPr>
          <w:p w:rsidR="00D77B0E" w:rsidRPr="00F879B6" w:rsidRDefault="00D77B0E" w:rsidP="00D73F13">
            <w:pPr>
              <w:jc w:val="center"/>
              <w:rPr>
                <w:rFonts w:ascii="Garamond" w:hAnsi="Garamond" w:cs="Calibri"/>
                <w:bCs/>
                <w:sz w:val="18"/>
                <w:szCs w:val="18"/>
              </w:rPr>
            </w:pPr>
            <w:r w:rsidRPr="00F879B6">
              <w:rPr>
                <w:rFonts w:ascii="Garamond" w:hAnsi="Garamond" w:cs="Calibri"/>
                <w:bCs/>
                <w:sz w:val="18"/>
                <w:szCs w:val="18"/>
              </w:rPr>
              <w:t>-0,6%</w:t>
            </w:r>
          </w:p>
        </w:tc>
        <w:tc>
          <w:tcPr>
            <w:tcW w:w="700" w:type="dxa"/>
            <w:tcBorders>
              <w:left w:val="nil"/>
              <w:right w:val="nil"/>
            </w:tcBorders>
            <w:shd w:val="clear" w:color="auto" w:fill="auto"/>
            <w:noWrap/>
            <w:vAlign w:val="center"/>
            <w:hideMark/>
          </w:tcPr>
          <w:p w:rsidR="00D77B0E" w:rsidRPr="00F879B6" w:rsidRDefault="00D77B0E" w:rsidP="00D73F13">
            <w:pPr>
              <w:jc w:val="center"/>
              <w:rPr>
                <w:rFonts w:ascii="Garamond" w:hAnsi="Garamond" w:cs="Calibri"/>
                <w:bCs/>
                <w:sz w:val="18"/>
                <w:szCs w:val="18"/>
              </w:rPr>
            </w:pPr>
            <w:r w:rsidRPr="00F879B6">
              <w:rPr>
                <w:rFonts w:ascii="Garamond" w:hAnsi="Garamond" w:cs="Calibri"/>
                <w:bCs/>
                <w:sz w:val="18"/>
                <w:szCs w:val="18"/>
              </w:rPr>
              <w:t>2,9%</w:t>
            </w:r>
          </w:p>
        </w:tc>
        <w:tc>
          <w:tcPr>
            <w:tcW w:w="700" w:type="dxa"/>
            <w:tcBorders>
              <w:left w:val="nil"/>
              <w:right w:val="nil"/>
            </w:tcBorders>
            <w:shd w:val="clear" w:color="auto" w:fill="auto"/>
            <w:noWrap/>
            <w:vAlign w:val="center"/>
            <w:hideMark/>
          </w:tcPr>
          <w:p w:rsidR="00D77B0E" w:rsidRPr="00F879B6" w:rsidRDefault="00D77B0E" w:rsidP="00D73F13">
            <w:pPr>
              <w:jc w:val="center"/>
              <w:rPr>
                <w:rFonts w:ascii="Garamond" w:hAnsi="Garamond" w:cs="Calibri"/>
                <w:bCs/>
                <w:sz w:val="18"/>
                <w:szCs w:val="18"/>
              </w:rPr>
            </w:pPr>
            <w:r w:rsidRPr="00F879B6">
              <w:rPr>
                <w:rFonts w:ascii="Garamond" w:hAnsi="Garamond" w:cs="Calibri"/>
                <w:bCs/>
                <w:sz w:val="18"/>
                <w:szCs w:val="18"/>
              </w:rPr>
              <w:t>1,2%</w:t>
            </w:r>
          </w:p>
        </w:tc>
      </w:tr>
      <w:tr w:rsidR="00D77B0E" w:rsidRPr="00BA34FF" w:rsidTr="00D73F13">
        <w:trPr>
          <w:trHeight w:val="240"/>
        </w:trPr>
        <w:tc>
          <w:tcPr>
            <w:tcW w:w="2020" w:type="dxa"/>
            <w:tcBorders>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Milano</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401,9</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399</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395,1</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412,3</w:t>
            </w:r>
          </w:p>
        </w:tc>
        <w:tc>
          <w:tcPr>
            <w:tcW w:w="820" w:type="dxa"/>
            <w:tcBorders>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405</w:t>
            </w:r>
          </w:p>
        </w:tc>
        <w:tc>
          <w:tcPr>
            <w:tcW w:w="700" w:type="dxa"/>
            <w:tcBorders>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-1,7%</w:t>
            </w:r>
          </w:p>
        </w:tc>
        <w:tc>
          <w:tcPr>
            <w:tcW w:w="700" w:type="dxa"/>
            <w:tcBorders>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2,5%</w:t>
            </w:r>
          </w:p>
        </w:tc>
        <w:tc>
          <w:tcPr>
            <w:tcW w:w="700" w:type="dxa"/>
            <w:tcBorders>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-1,8%</w:t>
            </w:r>
          </w:p>
        </w:tc>
        <w:tc>
          <w:tcPr>
            <w:tcW w:w="700" w:type="dxa"/>
            <w:tcBorders>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0,8%</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Monza e Brianza</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289,9</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291,4</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299</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288,4</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274,5</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3,1%</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-8,2%</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-4,8%</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-5,3%</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Pavia</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259,4</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263,4</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265,8</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259,5</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251,2</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2,5%</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-5,5%</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-3,2%</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-3,2%</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Sondrio</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235,8</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238,3</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247,9</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248,7</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255,2</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5,1%</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2,9%</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2,6%</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8,2%</w:t>
            </w:r>
          </w:p>
        </w:tc>
      </w:tr>
      <w:tr w:rsidR="00D77B0E" w:rsidRPr="00BA34FF" w:rsidTr="00D73F13">
        <w:trPr>
          <w:trHeight w:val="240"/>
        </w:trPr>
        <w:tc>
          <w:tcPr>
            <w:tcW w:w="2020" w:type="dxa"/>
            <w:tcBorders>
              <w:top w:val="nil"/>
              <w:left w:val="nil"/>
              <w:bottom w:val="nil"/>
              <w:right w:val="nil"/>
            </w:tcBorders>
            <w:shd w:val="clear" w:color="auto" w:fill="auto"/>
            <w:vAlign w:val="center"/>
            <w:hideMark/>
          </w:tcPr>
          <w:p w:rsidR="00D77B0E" w:rsidRPr="00BA34FF" w:rsidRDefault="00D77B0E" w:rsidP="00D73F13">
            <w:pPr>
              <w:rPr>
                <w:rFonts w:ascii="Garamond" w:hAnsi="Garamond" w:cs="Calibri"/>
                <w:color w:val="000000"/>
                <w:sz w:val="18"/>
                <w:szCs w:val="18"/>
              </w:rPr>
            </w:pPr>
            <w:r w:rsidRPr="00BA34FF">
              <w:rPr>
                <w:rFonts w:ascii="Garamond" w:hAnsi="Garamond" w:cs="Calibri"/>
                <w:color w:val="000000"/>
                <w:sz w:val="18"/>
                <w:szCs w:val="18"/>
              </w:rPr>
              <w:t>Varese</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258,1</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262,6</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263,5</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257,3</w:t>
            </w:r>
          </w:p>
        </w:tc>
        <w:tc>
          <w:tcPr>
            <w:tcW w:w="820" w:type="dxa"/>
            <w:tcBorders>
              <w:top w:val="nil"/>
              <w:left w:val="nil"/>
              <w:bottom w:val="nil"/>
              <w:right w:val="nil"/>
            </w:tcBorders>
            <w:shd w:val="clear" w:color="auto" w:fill="auto"/>
            <w:noWrap/>
            <w:vAlign w:val="bottom"/>
            <w:hideMark/>
          </w:tcPr>
          <w:p w:rsidR="00D77B0E" w:rsidRPr="00BA34FF" w:rsidRDefault="00D77B0E" w:rsidP="00D73F13">
            <w:pPr>
              <w:jc w:val="center"/>
              <w:rPr>
                <w:rFonts w:ascii="Garamond" w:hAnsi="Garamond" w:cs="Calibri"/>
                <w:color w:val="000000"/>
                <w:sz w:val="18"/>
                <w:szCs w:val="18"/>
              </w:rPr>
            </w:pPr>
            <w:r w:rsidRPr="00BA34FF">
              <w:rPr>
                <w:rFonts w:ascii="Garamond" w:hAnsi="Garamond" w:cs="Calibri"/>
                <w:color w:val="000000"/>
                <w:sz w:val="18"/>
                <w:szCs w:val="18"/>
              </w:rPr>
              <w:t>253,4</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2,1%</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-3,8%</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-1,5%</w:t>
            </w:r>
          </w:p>
        </w:tc>
        <w:tc>
          <w:tcPr>
            <w:tcW w:w="700" w:type="dxa"/>
            <w:tcBorders>
              <w:top w:val="nil"/>
              <w:left w:val="nil"/>
              <w:bottom w:val="nil"/>
              <w:right w:val="nil"/>
            </w:tcBorders>
            <w:shd w:val="clear" w:color="auto" w:fill="auto"/>
            <w:noWrap/>
            <w:vAlign w:val="center"/>
            <w:hideMark/>
          </w:tcPr>
          <w:p w:rsidR="00D77B0E" w:rsidRPr="00BA34FF" w:rsidRDefault="00D77B0E" w:rsidP="00D73F13">
            <w:pPr>
              <w:jc w:val="center"/>
              <w:rPr>
                <w:rFonts w:ascii="Garamond" w:hAnsi="Garamond" w:cs="Calibri"/>
                <w:sz w:val="18"/>
                <w:szCs w:val="18"/>
              </w:rPr>
            </w:pPr>
            <w:r w:rsidRPr="00BA34FF">
              <w:rPr>
                <w:rFonts w:ascii="Garamond" w:hAnsi="Garamond" w:cs="Calibri"/>
                <w:sz w:val="18"/>
                <w:szCs w:val="18"/>
              </w:rPr>
              <w:t>-1,8%</w:t>
            </w:r>
          </w:p>
        </w:tc>
      </w:tr>
      <w:tr w:rsidR="00D77B0E" w:rsidRPr="00BA34FF" w:rsidTr="00D73F13">
        <w:trPr>
          <w:trHeight w:val="109"/>
        </w:trPr>
        <w:tc>
          <w:tcPr>
            <w:tcW w:w="2020" w:type="dxa"/>
            <w:tcBorders>
              <w:top w:val="single" w:sz="4" w:space="0" w:color="auto"/>
              <w:left w:val="nil"/>
              <w:bottom w:val="single" w:sz="4" w:space="0" w:color="auto"/>
              <w:right w:val="nil"/>
            </w:tcBorders>
            <w:shd w:val="clear" w:color="auto" w:fill="auto"/>
            <w:vAlign w:val="center"/>
            <w:hideMark/>
          </w:tcPr>
          <w:p w:rsidR="00D77B0E" w:rsidRPr="00BA34FF" w:rsidRDefault="00D77B0E" w:rsidP="00D73F13">
            <w:pP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82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c>
          <w:tcPr>
            <w:tcW w:w="700" w:type="dxa"/>
            <w:tcBorders>
              <w:top w:val="single" w:sz="4" w:space="0" w:color="auto"/>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color w:val="000000"/>
                <w:sz w:val="10"/>
                <w:szCs w:val="10"/>
              </w:rPr>
            </w:pPr>
            <w:r w:rsidRPr="00BA34FF">
              <w:rPr>
                <w:rFonts w:ascii="Garamond" w:hAnsi="Garamond" w:cs="Calibri"/>
                <w:color w:val="000000"/>
                <w:sz w:val="10"/>
                <w:szCs w:val="10"/>
              </w:rPr>
              <w:t> </w:t>
            </w:r>
          </w:p>
        </w:tc>
      </w:tr>
      <w:tr w:rsidR="00D77B0E" w:rsidRPr="00BA34FF" w:rsidTr="00D73F13">
        <w:trPr>
          <w:trHeight w:val="240"/>
        </w:trPr>
        <w:tc>
          <w:tcPr>
            <w:tcW w:w="2020" w:type="dxa"/>
            <w:tcBorders>
              <w:top w:val="nil"/>
              <w:left w:val="nil"/>
              <w:bottom w:val="single" w:sz="4" w:space="0" w:color="auto"/>
              <w:right w:val="nil"/>
            </w:tcBorders>
            <w:shd w:val="clear" w:color="auto" w:fill="auto"/>
            <w:vAlign w:val="center"/>
            <w:hideMark/>
          </w:tcPr>
          <w:p w:rsidR="00D77B0E" w:rsidRPr="00BA34FF" w:rsidRDefault="00D77B0E" w:rsidP="00D73F13">
            <w:pPr>
              <w:rPr>
                <w:rFonts w:ascii="Garamond" w:hAnsi="Garamond" w:cs="Calibri"/>
                <w:b/>
                <w:bCs/>
                <w:color w:val="000000"/>
                <w:sz w:val="18"/>
                <w:szCs w:val="18"/>
              </w:rPr>
            </w:pPr>
            <w:r w:rsidRPr="00BA34FF">
              <w:rPr>
                <w:rFonts w:ascii="Garamond" w:hAnsi="Garamond" w:cs="Calibri"/>
                <w:b/>
                <w:bCs/>
                <w:color w:val="000000"/>
                <w:sz w:val="18"/>
                <w:szCs w:val="18"/>
              </w:rPr>
              <w:t>Lombardia</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309,8</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312,3</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311,2</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313</w:t>
            </w:r>
          </w:p>
        </w:tc>
        <w:tc>
          <w:tcPr>
            <w:tcW w:w="820" w:type="dxa"/>
            <w:tcBorders>
              <w:top w:val="nil"/>
              <w:left w:val="nil"/>
              <w:bottom w:val="single" w:sz="4" w:space="0" w:color="auto"/>
              <w:right w:val="nil"/>
            </w:tcBorders>
            <w:shd w:val="clear" w:color="auto" w:fill="auto"/>
            <w:noWrap/>
            <w:vAlign w:val="bottom"/>
            <w:hideMark/>
          </w:tcPr>
          <w:p w:rsidR="00D77B0E" w:rsidRPr="00BA34FF" w:rsidRDefault="00D77B0E" w:rsidP="00D73F13">
            <w:pPr>
              <w:jc w:val="center"/>
              <w:rPr>
                <w:rFonts w:ascii="Garamond" w:hAnsi="Garamond" w:cs="Calibri"/>
                <w:b/>
                <w:bCs/>
                <w:color w:val="000000"/>
                <w:sz w:val="18"/>
                <w:szCs w:val="18"/>
              </w:rPr>
            </w:pPr>
            <w:r w:rsidRPr="00BA34FF">
              <w:rPr>
                <w:rFonts w:ascii="Garamond" w:hAnsi="Garamond" w:cs="Calibri"/>
                <w:b/>
                <w:bCs/>
                <w:color w:val="000000"/>
                <w:sz w:val="18"/>
                <w:szCs w:val="18"/>
              </w:rPr>
              <w:t>308,5</w:t>
            </w:r>
          </w:p>
        </w:tc>
        <w:tc>
          <w:tcPr>
            <w:tcW w:w="700" w:type="dxa"/>
            <w:tcBorders>
              <w:top w:val="nil"/>
              <w:left w:val="nil"/>
              <w:bottom w:val="single" w:sz="4" w:space="0" w:color="auto"/>
              <w:right w:val="nil"/>
            </w:tcBorders>
            <w:shd w:val="clear" w:color="auto" w:fill="auto"/>
            <w:noWrap/>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0,5%</w:t>
            </w:r>
          </w:p>
        </w:tc>
        <w:tc>
          <w:tcPr>
            <w:tcW w:w="700" w:type="dxa"/>
            <w:tcBorders>
              <w:top w:val="nil"/>
              <w:left w:val="nil"/>
              <w:bottom w:val="single" w:sz="4" w:space="0" w:color="auto"/>
              <w:right w:val="nil"/>
            </w:tcBorders>
            <w:shd w:val="clear" w:color="auto" w:fill="auto"/>
            <w:noWrap/>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-0,9%</w:t>
            </w:r>
          </w:p>
        </w:tc>
        <w:tc>
          <w:tcPr>
            <w:tcW w:w="700" w:type="dxa"/>
            <w:tcBorders>
              <w:top w:val="nil"/>
              <w:left w:val="nil"/>
              <w:bottom w:val="single" w:sz="4" w:space="0" w:color="auto"/>
              <w:right w:val="nil"/>
            </w:tcBorders>
            <w:shd w:val="clear" w:color="auto" w:fill="auto"/>
            <w:noWrap/>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-1,4%</w:t>
            </w:r>
          </w:p>
        </w:tc>
        <w:tc>
          <w:tcPr>
            <w:tcW w:w="700" w:type="dxa"/>
            <w:tcBorders>
              <w:top w:val="nil"/>
              <w:left w:val="nil"/>
              <w:bottom w:val="single" w:sz="4" w:space="0" w:color="auto"/>
              <w:right w:val="nil"/>
            </w:tcBorders>
            <w:shd w:val="clear" w:color="auto" w:fill="auto"/>
            <w:noWrap/>
            <w:vAlign w:val="center"/>
            <w:hideMark/>
          </w:tcPr>
          <w:p w:rsidR="00D77B0E" w:rsidRPr="00BA34FF" w:rsidRDefault="00D77B0E" w:rsidP="00D73F13">
            <w:pPr>
              <w:jc w:val="center"/>
              <w:rPr>
                <w:rFonts w:ascii="Garamond" w:hAnsi="Garamond" w:cs="Calibri"/>
                <w:b/>
                <w:bCs/>
                <w:sz w:val="18"/>
                <w:szCs w:val="18"/>
              </w:rPr>
            </w:pPr>
            <w:r w:rsidRPr="00BA34FF">
              <w:rPr>
                <w:rFonts w:ascii="Garamond" w:hAnsi="Garamond" w:cs="Calibri"/>
                <w:b/>
                <w:bCs/>
                <w:sz w:val="18"/>
                <w:szCs w:val="18"/>
              </w:rPr>
              <w:t>-0,4%</w:t>
            </w:r>
          </w:p>
        </w:tc>
      </w:tr>
    </w:tbl>
    <w:p w:rsidR="00D77B0E" w:rsidRPr="00C32A1C" w:rsidRDefault="00D77B0E" w:rsidP="00D77B0E">
      <w:pPr>
        <w:rPr>
          <w:rFonts w:ascii="Cambria" w:hAnsi="Cambria" w:cs="Verdana"/>
          <w:i/>
          <w:sz w:val="18"/>
          <w:szCs w:val="18"/>
        </w:rPr>
      </w:pPr>
      <w:r w:rsidRPr="00C32A1C">
        <w:rPr>
          <w:rFonts w:ascii="Cambria" w:hAnsi="Cambria" w:cs="Verdana"/>
          <w:i/>
          <w:sz w:val="18"/>
          <w:szCs w:val="18"/>
        </w:rPr>
        <w:t xml:space="preserve">Fonte: Elaborazioni su dati del Ministero dell’Interno – </w:t>
      </w:r>
      <w:r>
        <w:rPr>
          <w:rFonts w:ascii="Cambria" w:hAnsi="Cambria" w:cs="Verdana"/>
          <w:i/>
          <w:sz w:val="18"/>
          <w:szCs w:val="18"/>
        </w:rPr>
        <w:t>bilanci di previsione dei comuni</w:t>
      </w:r>
    </w:p>
    <w:p w:rsidR="00D77B0E" w:rsidRDefault="00D77B0E" w:rsidP="00D77B0E"/>
    <w:p w:rsidR="00D77B0E" w:rsidRDefault="00D77B0E" w:rsidP="00D77B0E"/>
    <w:p w:rsidR="00D77B0E" w:rsidRDefault="00D77B0E" w:rsidP="00D77B0E"/>
    <w:p w:rsidR="00D77B0E" w:rsidRDefault="00D77B0E" w:rsidP="00D77B0E"/>
    <w:p w:rsidR="00D77B0E" w:rsidRPr="00032734" w:rsidRDefault="00D77B0E" w:rsidP="00D77B0E">
      <w:pPr>
        <w:spacing w:before="360" w:line="360" w:lineRule="auto"/>
        <w:jc w:val="both"/>
      </w:pPr>
      <w:r w:rsidRPr="00032734">
        <w:lastRenderedPageBreak/>
        <w:t>La congiuntura economica, quindi, sembrerebbe interpretata dalle amministrazioni pubbliche principalmente nell’ottica della maggior pressione fiscale piuttosto che nel consolidamento delle prestazioni socio-assistenziali. In questo scenario appare evidente come l’eventuale, e necessario, recupero delle risorse derivanti dalla lotta all’evasione, debba essere prioritariamente de</w:t>
      </w:r>
      <w:r>
        <w:t xml:space="preserve">stinato </w:t>
      </w:r>
      <w:r w:rsidRPr="00032734">
        <w:t>in primo luogo al potenziamento degli interventi di assistenza sociale.</w:t>
      </w:r>
    </w:p>
    <w:p w:rsidR="00D77B0E" w:rsidRDefault="00D77B0E" w:rsidP="00D77B0E">
      <w:pPr>
        <w:spacing w:line="360" w:lineRule="auto"/>
        <w:jc w:val="both"/>
      </w:pPr>
    </w:p>
    <w:p w:rsidR="00D77B0E" w:rsidRPr="00575D70" w:rsidRDefault="00D77B0E" w:rsidP="00D77B0E">
      <w:pPr>
        <w:pStyle w:val="Titolo2"/>
        <w:spacing w:before="120"/>
        <w:rPr>
          <w:rFonts w:ascii="Times New Roman" w:hAnsi="Times New Roman" w:cs="Times New Roman"/>
          <w:color w:val="auto"/>
          <w:sz w:val="24"/>
          <w:szCs w:val="24"/>
        </w:rPr>
      </w:pPr>
      <w:r w:rsidRPr="00575D70">
        <w:rPr>
          <w:rFonts w:ascii="Times New Roman" w:hAnsi="Times New Roman" w:cs="Times New Roman"/>
          <w:color w:val="auto"/>
          <w:sz w:val="24"/>
          <w:szCs w:val="24"/>
        </w:rPr>
        <w:t>Progressività fiscale nell’applicazione dell’addizionale comunale all’Irpef</w:t>
      </w:r>
    </w:p>
    <w:p w:rsidR="00D77B0E" w:rsidRPr="00032734" w:rsidRDefault="00D77B0E" w:rsidP="00D77B0E">
      <w:pPr>
        <w:spacing w:before="240" w:line="360" w:lineRule="auto"/>
        <w:jc w:val="both"/>
      </w:pPr>
      <w:r w:rsidRPr="00032734">
        <w:t>Come descritto in precedenza in merito all’analisi di alcune principali voci di bilancio dei documenti programmatici dei comuni, tra il 2011 ed il 2012 si assiste ad un netto e generalizzato aumento degli stanziamenti d’entrata  previsti per l’addizionale comunale all’Irpef, sia in termini assoluti sia a livello pro-capite.</w:t>
      </w:r>
    </w:p>
    <w:p w:rsidR="00D77B0E" w:rsidRPr="00032734" w:rsidRDefault="00D77B0E" w:rsidP="00D77B0E">
      <w:pPr>
        <w:spacing w:line="360" w:lineRule="auto"/>
        <w:jc w:val="both"/>
      </w:pPr>
      <w:r w:rsidRPr="00032734">
        <w:t xml:space="preserve">Risulta quindi necessario andare a verificare le modalità con le quali gli enti locali hanno previsto l’applicazione dell’addizionale all’imposta sul reddito delle persone fisiche proprio nel 2012, a fronte dello sblocco totale dell’aliquota approvato dalla cosiddetta manovra bis (D.L. n. 138/2011).  </w:t>
      </w:r>
    </w:p>
    <w:p w:rsidR="00D77B0E" w:rsidRPr="00032734" w:rsidRDefault="00D77B0E" w:rsidP="00D77B0E">
      <w:pPr>
        <w:spacing w:line="360" w:lineRule="auto"/>
        <w:jc w:val="both"/>
      </w:pPr>
      <w:r w:rsidRPr="00032734">
        <w:t>I Comuni sono infatti tornati a gestire l’addizionale comunale all’Irpef con aumenti previsti dell’aliquota fino al tetto massimo dello 0,8% senza, inoltre, alcun vincolo che imponga limiti all’incremento annuale 2011/2012.</w:t>
      </w:r>
    </w:p>
    <w:p w:rsidR="00D77B0E" w:rsidRPr="00032734" w:rsidRDefault="00D77B0E" w:rsidP="00D77B0E">
      <w:pPr>
        <w:spacing w:line="360" w:lineRule="auto"/>
        <w:jc w:val="both"/>
      </w:pPr>
      <w:r w:rsidRPr="00032734">
        <w:t>L’attività di recupero di risorse da parte degli enti locali, attraverso una consistente lotta all’evasione, però, potrebbe almeno in parte ovviare al maggiore prelievo fiscale a carico del contribuente, e dar respiro ad amministrazioni comunali alle prese con i ripetuti tagli dei trasferimenti statali.</w:t>
      </w:r>
    </w:p>
    <w:p w:rsidR="00D77B0E" w:rsidRPr="00032734" w:rsidRDefault="00D77B0E" w:rsidP="00D77B0E">
      <w:pPr>
        <w:spacing w:line="360" w:lineRule="auto"/>
        <w:jc w:val="both"/>
      </w:pPr>
      <w:r w:rsidRPr="00032734">
        <w:t>Non dimentichiamo inoltre come l’evasione dell’Irpef sia pressoché interamente attribuibile a lavoratori autonomi ed imprenditori e lo strumento incondizionato della leva fiscale applicata all’addizionale andrebbe quindi a gravare in primis sui lavoratori dipendenti e sui pensionati.</w:t>
      </w:r>
    </w:p>
    <w:p w:rsidR="00D77B0E" w:rsidRPr="00032734" w:rsidRDefault="00D77B0E" w:rsidP="00D77B0E">
      <w:pPr>
        <w:spacing w:line="360" w:lineRule="auto"/>
        <w:jc w:val="both"/>
      </w:pPr>
      <w:r w:rsidRPr="00032734">
        <w:t>Proprio nel D.L. n. 138/2011 infatti, pur confermando la possibilità di introduzione, da parte dei comuni, di una soglia di esenzione, il legislatore inserisce una precisazione che di fatto nega alle amministrazioni la possibilità di tutelare alcune specifiche fasce di lavoratori:</w:t>
      </w:r>
    </w:p>
    <w:p w:rsidR="00D77B0E" w:rsidRPr="00032734" w:rsidRDefault="00D77B0E" w:rsidP="00D77B0E">
      <w:pPr>
        <w:pStyle w:val="NormaleWeb"/>
        <w:numPr>
          <w:ilvl w:val="0"/>
          <w:numId w:val="10"/>
        </w:numPr>
        <w:suppressAutoHyphens/>
        <w:spacing w:before="240" w:beforeAutospacing="0" w:after="240" w:line="360" w:lineRule="auto"/>
        <w:jc w:val="both"/>
      </w:pPr>
      <w:r w:rsidRPr="00032734">
        <w:rPr>
          <w:rFonts w:eastAsia="Cambria"/>
        </w:rPr>
        <w:t>“</w:t>
      </w:r>
      <w:r w:rsidRPr="00032734">
        <w:t xml:space="preserve">la soglia di esenzione può essere stabilita unicamente in ragione del possesso di specifici requisiti reddituali”. Nella definizione della fascia di esenzione, quindi, il regolamento comunale può far riferimento esclusivamente al reddito complessivo del contribuente </w:t>
      </w:r>
      <w:r w:rsidRPr="00032734">
        <w:rPr>
          <w:b/>
          <w:i/>
        </w:rPr>
        <w:t xml:space="preserve">senza la possibilità esentare in base alla tipologia di reddito o di contribuente </w:t>
      </w:r>
      <w:r w:rsidRPr="00032734">
        <w:t>(reddito da lavoro dipendente o assimilabili, pensionati, ultra65enni, etc...)</w:t>
      </w:r>
    </w:p>
    <w:p w:rsidR="00D77B0E" w:rsidRPr="00032734" w:rsidRDefault="00D77B0E" w:rsidP="00D77B0E">
      <w:pPr>
        <w:spacing w:line="360" w:lineRule="auto"/>
        <w:jc w:val="both"/>
      </w:pPr>
      <w:r w:rsidRPr="00032734">
        <w:lastRenderedPageBreak/>
        <w:t>Si accentua quindi la necessità di far emergere almeno una parte dell’economia sommersa così da favorire l’applicazione di alcuni elementi innovativi introdotti dal D.L. n. 138/2011 ed in particolare la “</w:t>
      </w:r>
      <w:r w:rsidRPr="00032734">
        <w:rPr>
          <w:rStyle w:val="Enfasicorsivo"/>
        </w:rPr>
        <w:t>razionalità del sistema tributario nel suo complesso e la salvaguardia dei criteri di progressività</w:t>
      </w:r>
      <w:r w:rsidRPr="00032734">
        <w:t>”. La norma prevede infatti dal 2012 aliquote dell’addizionale comunale all’Irpef differenziate, in base al reddito, esclusivamente in relazione agli scaglioni corrispondenti a quelli stabiliti dalla legge statale.</w:t>
      </w:r>
    </w:p>
    <w:p w:rsidR="00D77B0E" w:rsidRPr="00032734" w:rsidRDefault="00D77B0E" w:rsidP="00D77B0E">
      <w:pPr>
        <w:spacing w:line="360" w:lineRule="auto"/>
        <w:jc w:val="both"/>
      </w:pPr>
      <w:r w:rsidRPr="00032734">
        <w:t>Il decreto legge non garantisce però la razionalità e la progressività del sistema tributario nel suo complesso, lasciando infatti la possibilità ai comuni di determinare ed applicare un'aliquota unica.</w:t>
      </w:r>
    </w:p>
    <w:p w:rsidR="00D77B0E" w:rsidRPr="00032734" w:rsidRDefault="00D77B0E" w:rsidP="00D77B0E">
      <w:pPr>
        <w:spacing w:line="360" w:lineRule="auto"/>
        <w:jc w:val="both"/>
      </w:pPr>
      <w:r>
        <w:t>È</w:t>
      </w:r>
      <w:r w:rsidRPr="00032734">
        <w:t xml:space="preserve"> in effetti fondato il rischio che molti enti adottino quest’ultima soluzione, decisamente di più facile applicazione e, in particolare, più proficua in termini di gettito complessivo ottenuto. </w:t>
      </w:r>
    </w:p>
    <w:p w:rsidR="00D77B0E" w:rsidRPr="00032734" w:rsidRDefault="00D77B0E" w:rsidP="00D77B0E">
      <w:pPr>
        <w:pStyle w:val="NormaleWeb"/>
        <w:suppressAutoHyphens/>
        <w:spacing w:before="0" w:beforeAutospacing="0" w:after="0" w:line="360" w:lineRule="auto"/>
        <w:jc w:val="both"/>
      </w:pPr>
      <w:r w:rsidRPr="00032734">
        <w:t>Un ulteriore possibile maggior gettito per le casse dell’ente deriva inoltre dall’esclusione, nell’interpretazione dell’applicazione della soglia di esenzione sotto la quale non è dovuto l’addizionale Irpef, della “no tax area”.  La norma infatti esplicita come l’eventuale soglia di esenzione introdotta deve essere intesa esclusivamente come limite di reddito al di sotto del quale l’addizionale comunale all’Irpef non è dovuta. Nel caso di superamento del suddetto limite, la stessa si applicherebbe al reddito nel suo complesso e non solo alla parte eccedente la fascia di esenzione.</w:t>
      </w:r>
    </w:p>
    <w:p w:rsidR="00D77B0E" w:rsidRPr="00032734" w:rsidRDefault="00D77B0E" w:rsidP="00D77B0E">
      <w:pPr>
        <w:spacing w:line="360" w:lineRule="auto"/>
        <w:jc w:val="both"/>
        <w:rPr>
          <w:bCs/>
        </w:rPr>
      </w:pPr>
      <w:r w:rsidRPr="00032734">
        <w:rPr>
          <w:bCs/>
        </w:rPr>
        <w:t xml:space="preserve">In base ai dati messi a disposizione dal Ministero dell’Economia e delle Finanze nella provincia di </w:t>
      </w:r>
      <w:r>
        <w:rPr>
          <w:bCs/>
        </w:rPr>
        <w:t xml:space="preserve">Bergamo </w:t>
      </w:r>
      <w:r w:rsidRPr="00032734">
        <w:rPr>
          <w:bCs/>
        </w:rPr>
        <w:t>le amministrazioni comunali che hanno calcolato l’addizionale Irpef per il 2012 utilizzando la multialiquota</w:t>
      </w:r>
      <w:r w:rsidRPr="00032734">
        <w:rPr>
          <w:rStyle w:val="Rimandonotaapidipagina"/>
          <w:rFonts w:eastAsiaTheme="majorEastAsia"/>
        </w:rPr>
        <w:footnoteReference w:id="12"/>
      </w:r>
      <w:r w:rsidRPr="00032734">
        <w:rPr>
          <w:bCs/>
        </w:rPr>
        <w:t xml:space="preserve">, </w:t>
      </w:r>
      <w:r>
        <w:rPr>
          <w:bCs/>
        </w:rPr>
        <w:t>sono appena il 22,3% a fronte del 42,4% rilevato a livello regionale</w:t>
      </w:r>
      <w:r w:rsidRPr="00032734">
        <w:rPr>
          <w:rStyle w:val="Rimandonotaapidipagina"/>
          <w:rFonts w:eastAsiaTheme="majorEastAsia"/>
        </w:rPr>
        <w:footnoteReference w:id="13"/>
      </w:r>
      <w:r w:rsidRPr="00032734">
        <w:rPr>
          <w:bCs/>
        </w:rPr>
        <w:t xml:space="preserve">. </w:t>
      </w:r>
    </w:p>
    <w:p w:rsidR="00D77B0E" w:rsidRPr="00032734" w:rsidRDefault="00D77B0E" w:rsidP="00D77B0E">
      <w:pPr>
        <w:spacing w:line="360" w:lineRule="auto"/>
        <w:jc w:val="both"/>
        <w:rPr>
          <w:bCs/>
        </w:rPr>
      </w:pPr>
      <w:r>
        <w:rPr>
          <w:bCs/>
        </w:rPr>
        <w:t>Solo il 14,9% dei comuni della bergamasca</w:t>
      </w:r>
      <w:r w:rsidRPr="00032734">
        <w:rPr>
          <w:bCs/>
        </w:rPr>
        <w:t>, inoltre, ha previsto l’esenzione dal pagamento dell’addizionale per quei contribuenti che dichiarano un reddito imponibile irpef, inferiore alla prima soglia.</w:t>
      </w:r>
    </w:p>
    <w:p w:rsidR="00D77B0E" w:rsidRDefault="00D77B0E" w:rsidP="00D77B0E">
      <w:pPr>
        <w:spacing w:after="240" w:line="360" w:lineRule="auto"/>
        <w:jc w:val="both"/>
        <w:rPr>
          <w:bCs/>
        </w:rPr>
      </w:pPr>
      <w:r w:rsidRPr="00032734">
        <w:rPr>
          <w:bCs/>
        </w:rPr>
        <w:t xml:space="preserve">La tabella che segue </w:t>
      </w:r>
      <w:r>
        <w:rPr>
          <w:bCs/>
        </w:rPr>
        <w:t>fotografa</w:t>
      </w:r>
      <w:r w:rsidRPr="00032734">
        <w:rPr>
          <w:bCs/>
        </w:rPr>
        <w:t xml:space="preserve">, sotto questo aspetto, il territorio provinciale nel contesto regionale al </w:t>
      </w:r>
      <w:bookmarkStart w:id="25" w:name="_GoBack"/>
      <w:bookmarkEnd w:id="25"/>
      <w:r w:rsidRPr="00032734">
        <w:rPr>
          <w:bCs/>
        </w:rPr>
        <w:t>confronto con gli altri territori.</w:t>
      </w:r>
    </w:p>
    <w:p w:rsidR="00D77B0E" w:rsidRDefault="00D77B0E" w:rsidP="00D77B0E">
      <w:pPr>
        <w:spacing w:after="240" w:line="360" w:lineRule="auto"/>
        <w:jc w:val="both"/>
        <w:rPr>
          <w:bCs/>
        </w:rPr>
      </w:pPr>
    </w:p>
    <w:p w:rsidR="00D77B0E" w:rsidRDefault="00D77B0E" w:rsidP="00D77B0E">
      <w:pPr>
        <w:spacing w:after="240" w:line="360" w:lineRule="auto"/>
        <w:jc w:val="both"/>
        <w:rPr>
          <w:bCs/>
        </w:rPr>
      </w:pPr>
    </w:p>
    <w:p w:rsidR="00D77B0E" w:rsidRDefault="00D77B0E" w:rsidP="00D77B0E">
      <w:pPr>
        <w:spacing w:after="240" w:line="360" w:lineRule="auto"/>
        <w:jc w:val="both"/>
        <w:rPr>
          <w:bCs/>
        </w:rPr>
      </w:pPr>
    </w:p>
    <w:p w:rsidR="00D77B0E" w:rsidRDefault="00D77B0E" w:rsidP="00D77B0E">
      <w:pPr>
        <w:spacing w:after="240" w:line="360" w:lineRule="auto"/>
        <w:jc w:val="both"/>
        <w:rPr>
          <w:bCs/>
        </w:rPr>
      </w:pPr>
    </w:p>
    <w:p w:rsidR="00D77B0E" w:rsidRDefault="00D77B0E" w:rsidP="00D77B0E">
      <w:pPr>
        <w:jc w:val="both"/>
        <w:rPr>
          <w:rFonts w:ascii="Garamond" w:hAnsi="Garamond"/>
          <w:b/>
          <w:sz w:val="20"/>
          <w:szCs w:val="20"/>
        </w:rPr>
      </w:pPr>
      <w:r w:rsidRPr="001500EE">
        <w:rPr>
          <w:rFonts w:ascii="Garamond" w:hAnsi="Garamond"/>
          <w:b/>
          <w:sz w:val="20"/>
          <w:szCs w:val="20"/>
        </w:rPr>
        <w:lastRenderedPageBreak/>
        <w:t>Lombardia</w:t>
      </w:r>
      <w:r w:rsidRPr="00C55856">
        <w:rPr>
          <w:rFonts w:ascii="Garamond" w:hAnsi="Garamond"/>
          <w:b/>
          <w:sz w:val="20"/>
          <w:szCs w:val="20"/>
        </w:rPr>
        <w:t xml:space="preserve"> - Percentuale Comuni che hanno  applicato nel 2012 la Multi-aliquota e una prima fascia di esenzione nel calcolo dell’addizionale Irpef.  Incidenza % sul totale dei comuni</w:t>
      </w:r>
      <w:r>
        <w:rPr>
          <w:rFonts w:ascii="Garamond" w:hAnsi="Garamond"/>
          <w:b/>
          <w:sz w:val="20"/>
          <w:szCs w:val="20"/>
        </w:rPr>
        <w:t>(*)</w:t>
      </w:r>
      <w:r w:rsidRPr="00C55856">
        <w:rPr>
          <w:rFonts w:ascii="Garamond" w:hAnsi="Garamond"/>
          <w:b/>
          <w:sz w:val="20"/>
          <w:szCs w:val="20"/>
        </w:rPr>
        <w:t>. Dati provinciali.</w:t>
      </w:r>
    </w:p>
    <w:tbl>
      <w:tblPr>
        <w:tblW w:w="4977" w:type="dxa"/>
        <w:tblInd w:w="55" w:type="dxa"/>
        <w:tblCellMar>
          <w:left w:w="70" w:type="dxa"/>
          <w:right w:w="70" w:type="dxa"/>
        </w:tblCellMar>
        <w:tblLook w:val="04A0"/>
      </w:tblPr>
      <w:tblGrid>
        <w:gridCol w:w="1320"/>
        <w:gridCol w:w="1672"/>
        <w:gridCol w:w="1985"/>
      </w:tblGrid>
      <w:tr w:rsidR="00D77B0E" w:rsidRPr="005B7868" w:rsidTr="00D73F13">
        <w:trPr>
          <w:trHeight w:val="903"/>
        </w:trPr>
        <w:tc>
          <w:tcPr>
            <w:tcW w:w="1320" w:type="dxa"/>
            <w:tcBorders>
              <w:top w:val="single" w:sz="4" w:space="0" w:color="auto"/>
              <w:left w:val="nil"/>
              <w:bottom w:val="single" w:sz="4" w:space="0" w:color="auto"/>
              <w:right w:val="nil"/>
            </w:tcBorders>
            <w:shd w:val="clear" w:color="auto" w:fill="auto"/>
            <w:noWrap/>
            <w:vAlign w:val="center"/>
            <w:hideMark/>
          </w:tcPr>
          <w:p w:rsidR="00D77B0E" w:rsidRPr="005B7868" w:rsidRDefault="00D77B0E" w:rsidP="00D73F13">
            <w:pPr>
              <w:rPr>
                <w:rFonts w:ascii="Garamond" w:hAnsi="Garamond" w:cs="Calibri"/>
                <w:b/>
                <w:bCs/>
                <w:color w:val="000000"/>
                <w:sz w:val="18"/>
                <w:szCs w:val="18"/>
              </w:rPr>
            </w:pPr>
            <w:r w:rsidRPr="005B7868">
              <w:rPr>
                <w:rFonts w:ascii="Garamond" w:hAnsi="Garamond" w:cs="Calibri"/>
                <w:b/>
                <w:bCs/>
                <w:color w:val="000000"/>
                <w:sz w:val="18"/>
                <w:szCs w:val="18"/>
              </w:rPr>
              <w:t> </w:t>
            </w:r>
          </w:p>
        </w:tc>
        <w:tc>
          <w:tcPr>
            <w:tcW w:w="1672" w:type="dxa"/>
            <w:tcBorders>
              <w:top w:val="single" w:sz="4" w:space="0" w:color="auto"/>
              <w:left w:val="nil"/>
              <w:bottom w:val="single" w:sz="4" w:space="0" w:color="auto"/>
              <w:right w:val="nil"/>
            </w:tcBorders>
            <w:shd w:val="clear" w:color="auto" w:fill="auto"/>
            <w:vAlign w:val="center"/>
            <w:hideMark/>
          </w:tcPr>
          <w:p w:rsidR="00D77B0E" w:rsidRPr="005B7868" w:rsidRDefault="00D77B0E" w:rsidP="00D73F13">
            <w:pPr>
              <w:jc w:val="center"/>
              <w:rPr>
                <w:rFonts w:ascii="Garamond" w:hAnsi="Garamond" w:cs="Calibri"/>
                <w:b/>
                <w:bCs/>
                <w:color w:val="000000"/>
                <w:sz w:val="18"/>
                <w:szCs w:val="18"/>
              </w:rPr>
            </w:pPr>
            <w:r w:rsidRPr="005B7868">
              <w:rPr>
                <w:rFonts w:ascii="Garamond" w:hAnsi="Garamond" w:cs="Calibri"/>
                <w:b/>
                <w:bCs/>
                <w:color w:val="000000"/>
                <w:sz w:val="18"/>
                <w:szCs w:val="18"/>
              </w:rPr>
              <w:t>Percentuale Comuni che hanno applicano la Multi-aliquota nel 2012</w:t>
            </w:r>
          </w:p>
        </w:tc>
        <w:tc>
          <w:tcPr>
            <w:tcW w:w="1985" w:type="dxa"/>
            <w:tcBorders>
              <w:top w:val="single" w:sz="4" w:space="0" w:color="auto"/>
              <w:left w:val="nil"/>
              <w:bottom w:val="single" w:sz="4" w:space="0" w:color="auto"/>
              <w:right w:val="nil"/>
            </w:tcBorders>
            <w:shd w:val="clear" w:color="auto" w:fill="auto"/>
            <w:vAlign w:val="center"/>
            <w:hideMark/>
          </w:tcPr>
          <w:p w:rsidR="00D77B0E" w:rsidRPr="005B7868" w:rsidRDefault="00D77B0E" w:rsidP="00D73F13">
            <w:pPr>
              <w:jc w:val="center"/>
              <w:rPr>
                <w:rFonts w:ascii="Garamond" w:hAnsi="Garamond" w:cs="Calibri"/>
                <w:b/>
                <w:bCs/>
                <w:color w:val="000000"/>
                <w:sz w:val="18"/>
                <w:szCs w:val="18"/>
              </w:rPr>
            </w:pPr>
            <w:r w:rsidRPr="005B7868">
              <w:rPr>
                <w:rFonts w:ascii="Garamond" w:hAnsi="Garamond" w:cs="Calibri"/>
                <w:b/>
                <w:bCs/>
                <w:color w:val="000000"/>
                <w:sz w:val="18"/>
                <w:szCs w:val="18"/>
              </w:rPr>
              <w:t>Percentuale di comuni che hanno applicano una prima fascia di esenzione nel 2012</w:t>
            </w:r>
          </w:p>
        </w:tc>
      </w:tr>
      <w:tr w:rsidR="00D77B0E" w:rsidRPr="005B7868" w:rsidTr="00D73F13">
        <w:trPr>
          <w:trHeight w:val="240"/>
        </w:trPr>
        <w:tc>
          <w:tcPr>
            <w:tcW w:w="1320" w:type="dxa"/>
            <w:tcBorders>
              <w:top w:val="nil"/>
              <w:left w:val="nil"/>
              <w:bottom w:val="nil"/>
              <w:right w:val="nil"/>
            </w:tcBorders>
            <w:shd w:val="clear" w:color="auto" w:fill="auto"/>
            <w:vAlign w:val="center"/>
            <w:hideMark/>
          </w:tcPr>
          <w:p w:rsidR="00D77B0E" w:rsidRPr="00603541" w:rsidRDefault="00D77B0E" w:rsidP="00D73F13">
            <w:pPr>
              <w:rPr>
                <w:rFonts w:ascii="Garamond" w:hAnsi="Garamond" w:cs="Calibri"/>
                <w:b/>
                <w:color w:val="000000"/>
                <w:sz w:val="18"/>
                <w:szCs w:val="18"/>
              </w:rPr>
            </w:pPr>
            <w:r w:rsidRPr="00603541">
              <w:rPr>
                <w:rFonts w:ascii="Garamond" w:hAnsi="Garamond" w:cs="Calibri"/>
                <w:b/>
                <w:color w:val="000000"/>
                <w:sz w:val="18"/>
                <w:szCs w:val="18"/>
              </w:rPr>
              <w:t>Bergamo</w:t>
            </w:r>
          </w:p>
        </w:tc>
        <w:tc>
          <w:tcPr>
            <w:tcW w:w="1672" w:type="dxa"/>
            <w:tcBorders>
              <w:top w:val="nil"/>
              <w:left w:val="nil"/>
              <w:bottom w:val="nil"/>
              <w:right w:val="nil"/>
            </w:tcBorders>
            <w:shd w:val="clear" w:color="auto" w:fill="auto"/>
            <w:noWrap/>
            <w:vAlign w:val="center"/>
            <w:hideMark/>
          </w:tcPr>
          <w:p w:rsidR="00D77B0E" w:rsidRPr="00603541" w:rsidRDefault="00D77B0E" w:rsidP="00D73F13">
            <w:pPr>
              <w:jc w:val="center"/>
              <w:rPr>
                <w:rFonts w:ascii="Garamond" w:hAnsi="Garamond" w:cs="Calibri"/>
                <w:b/>
                <w:color w:val="000000"/>
                <w:sz w:val="18"/>
                <w:szCs w:val="18"/>
              </w:rPr>
            </w:pPr>
            <w:r w:rsidRPr="00603541">
              <w:rPr>
                <w:rFonts w:ascii="Garamond" w:hAnsi="Garamond" w:cs="Calibri"/>
                <w:b/>
                <w:color w:val="000000"/>
                <w:sz w:val="18"/>
                <w:szCs w:val="18"/>
              </w:rPr>
              <w:t>22,3%</w:t>
            </w:r>
          </w:p>
        </w:tc>
        <w:tc>
          <w:tcPr>
            <w:tcW w:w="1985" w:type="dxa"/>
            <w:tcBorders>
              <w:top w:val="nil"/>
              <w:left w:val="nil"/>
              <w:bottom w:val="nil"/>
              <w:right w:val="nil"/>
            </w:tcBorders>
            <w:shd w:val="clear" w:color="auto" w:fill="auto"/>
            <w:noWrap/>
            <w:vAlign w:val="center"/>
            <w:hideMark/>
          </w:tcPr>
          <w:p w:rsidR="00D77B0E" w:rsidRPr="00603541" w:rsidRDefault="00D77B0E" w:rsidP="00D73F13">
            <w:pPr>
              <w:jc w:val="center"/>
              <w:rPr>
                <w:rFonts w:ascii="Garamond" w:hAnsi="Garamond" w:cs="Calibri"/>
                <w:b/>
                <w:color w:val="000000"/>
                <w:sz w:val="18"/>
                <w:szCs w:val="18"/>
              </w:rPr>
            </w:pPr>
            <w:r w:rsidRPr="00603541">
              <w:rPr>
                <w:rFonts w:ascii="Garamond" w:hAnsi="Garamond" w:cs="Calibri"/>
                <w:b/>
                <w:color w:val="000000"/>
                <w:sz w:val="18"/>
                <w:szCs w:val="18"/>
              </w:rPr>
              <w:t>14,9%</w:t>
            </w:r>
          </w:p>
        </w:tc>
      </w:tr>
      <w:tr w:rsidR="00D77B0E" w:rsidRPr="005B7868" w:rsidTr="00D73F13">
        <w:trPr>
          <w:trHeight w:val="240"/>
        </w:trPr>
        <w:tc>
          <w:tcPr>
            <w:tcW w:w="1320" w:type="dxa"/>
            <w:tcBorders>
              <w:top w:val="nil"/>
              <w:left w:val="nil"/>
              <w:bottom w:val="nil"/>
              <w:right w:val="nil"/>
            </w:tcBorders>
            <w:shd w:val="clear" w:color="auto" w:fill="auto"/>
            <w:vAlign w:val="center"/>
            <w:hideMark/>
          </w:tcPr>
          <w:p w:rsidR="00D77B0E" w:rsidRPr="005B7868" w:rsidRDefault="00D77B0E" w:rsidP="00D73F13">
            <w:pPr>
              <w:rPr>
                <w:rFonts w:ascii="Garamond" w:hAnsi="Garamond" w:cs="Calibri"/>
                <w:color w:val="000000"/>
                <w:sz w:val="18"/>
                <w:szCs w:val="18"/>
              </w:rPr>
            </w:pPr>
            <w:r w:rsidRPr="005B7868">
              <w:rPr>
                <w:rFonts w:ascii="Garamond" w:hAnsi="Garamond" w:cs="Calibri"/>
                <w:color w:val="000000"/>
                <w:sz w:val="18"/>
                <w:szCs w:val="18"/>
              </w:rPr>
              <w:t>Brescia</w:t>
            </w:r>
          </w:p>
        </w:tc>
        <w:tc>
          <w:tcPr>
            <w:tcW w:w="1672"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47,0%</w:t>
            </w:r>
          </w:p>
        </w:tc>
        <w:tc>
          <w:tcPr>
            <w:tcW w:w="1985"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38,9%</w:t>
            </w:r>
          </w:p>
        </w:tc>
      </w:tr>
      <w:tr w:rsidR="00D77B0E" w:rsidRPr="005B7868" w:rsidTr="00D73F13">
        <w:trPr>
          <w:trHeight w:val="240"/>
        </w:trPr>
        <w:tc>
          <w:tcPr>
            <w:tcW w:w="1320" w:type="dxa"/>
            <w:tcBorders>
              <w:top w:val="nil"/>
              <w:left w:val="nil"/>
              <w:bottom w:val="nil"/>
              <w:right w:val="nil"/>
            </w:tcBorders>
            <w:shd w:val="clear" w:color="auto" w:fill="auto"/>
            <w:vAlign w:val="center"/>
            <w:hideMark/>
          </w:tcPr>
          <w:p w:rsidR="00D77B0E" w:rsidRPr="005B7868" w:rsidRDefault="00D77B0E" w:rsidP="00D73F13">
            <w:pPr>
              <w:rPr>
                <w:rFonts w:ascii="Garamond" w:hAnsi="Garamond" w:cs="Calibri"/>
                <w:color w:val="000000"/>
                <w:sz w:val="18"/>
                <w:szCs w:val="18"/>
              </w:rPr>
            </w:pPr>
            <w:r w:rsidRPr="005B7868">
              <w:rPr>
                <w:rFonts w:ascii="Garamond" w:hAnsi="Garamond" w:cs="Calibri"/>
                <w:color w:val="000000"/>
                <w:sz w:val="18"/>
                <w:szCs w:val="18"/>
              </w:rPr>
              <w:t>Como</w:t>
            </w:r>
          </w:p>
        </w:tc>
        <w:tc>
          <w:tcPr>
            <w:tcW w:w="1672"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34,1%</w:t>
            </w:r>
          </w:p>
        </w:tc>
        <w:tc>
          <w:tcPr>
            <w:tcW w:w="1985"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26,4%</w:t>
            </w:r>
          </w:p>
        </w:tc>
      </w:tr>
      <w:tr w:rsidR="00D77B0E" w:rsidRPr="005B7868" w:rsidTr="00D73F13">
        <w:trPr>
          <w:trHeight w:val="240"/>
        </w:trPr>
        <w:tc>
          <w:tcPr>
            <w:tcW w:w="1320" w:type="dxa"/>
            <w:tcBorders>
              <w:top w:val="nil"/>
              <w:left w:val="nil"/>
              <w:right w:val="nil"/>
            </w:tcBorders>
            <w:shd w:val="clear" w:color="auto" w:fill="auto"/>
            <w:vAlign w:val="center"/>
            <w:hideMark/>
          </w:tcPr>
          <w:p w:rsidR="00D77B0E" w:rsidRPr="005B7868" w:rsidRDefault="00D77B0E" w:rsidP="00D73F13">
            <w:pPr>
              <w:rPr>
                <w:rFonts w:ascii="Garamond" w:hAnsi="Garamond" w:cs="Calibri"/>
                <w:color w:val="000000"/>
                <w:sz w:val="18"/>
                <w:szCs w:val="18"/>
              </w:rPr>
            </w:pPr>
            <w:r w:rsidRPr="005B7868">
              <w:rPr>
                <w:rFonts w:ascii="Garamond" w:hAnsi="Garamond" w:cs="Calibri"/>
                <w:color w:val="000000"/>
                <w:sz w:val="18"/>
                <w:szCs w:val="18"/>
              </w:rPr>
              <w:t>Cremona</w:t>
            </w:r>
          </w:p>
        </w:tc>
        <w:tc>
          <w:tcPr>
            <w:tcW w:w="1672" w:type="dxa"/>
            <w:tcBorders>
              <w:top w:val="nil"/>
              <w:left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34,0%</w:t>
            </w:r>
          </w:p>
        </w:tc>
        <w:tc>
          <w:tcPr>
            <w:tcW w:w="1985" w:type="dxa"/>
            <w:tcBorders>
              <w:top w:val="nil"/>
              <w:left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30,1%</w:t>
            </w:r>
          </w:p>
        </w:tc>
      </w:tr>
      <w:tr w:rsidR="00D77B0E" w:rsidRPr="00603541" w:rsidTr="00D73F13">
        <w:trPr>
          <w:trHeight w:val="240"/>
        </w:trPr>
        <w:tc>
          <w:tcPr>
            <w:tcW w:w="1320" w:type="dxa"/>
            <w:tcBorders>
              <w:left w:val="nil"/>
              <w:right w:val="nil"/>
            </w:tcBorders>
            <w:shd w:val="clear" w:color="auto" w:fill="auto"/>
            <w:vAlign w:val="center"/>
            <w:hideMark/>
          </w:tcPr>
          <w:p w:rsidR="00D77B0E" w:rsidRPr="00603541" w:rsidRDefault="00D77B0E" w:rsidP="00D73F13">
            <w:pPr>
              <w:rPr>
                <w:rFonts w:ascii="Garamond" w:hAnsi="Garamond" w:cs="Calibri"/>
                <w:color w:val="000000"/>
                <w:sz w:val="18"/>
                <w:szCs w:val="18"/>
              </w:rPr>
            </w:pPr>
            <w:r w:rsidRPr="00603541">
              <w:rPr>
                <w:rFonts w:ascii="Garamond" w:hAnsi="Garamond" w:cs="Calibri"/>
                <w:color w:val="000000"/>
                <w:sz w:val="18"/>
                <w:szCs w:val="18"/>
              </w:rPr>
              <w:t>Lecco</w:t>
            </w:r>
          </w:p>
        </w:tc>
        <w:tc>
          <w:tcPr>
            <w:tcW w:w="1672" w:type="dxa"/>
            <w:tcBorders>
              <w:left w:val="nil"/>
              <w:right w:val="nil"/>
            </w:tcBorders>
            <w:shd w:val="clear" w:color="auto" w:fill="auto"/>
            <w:noWrap/>
            <w:vAlign w:val="center"/>
            <w:hideMark/>
          </w:tcPr>
          <w:p w:rsidR="00D77B0E" w:rsidRPr="00603541" w:rsidRDefault="00D77B0E" w:rsidP="00D73F13">
            <w:pPr>
              <w:jc w:val="center"/>
              <w:rPr>
                <w:rFonts w:ascii="Garamond" w:hAnsi="Garamond" w:cs="Calibri"/>
                <w:color w:val="000000"/>
                <w:sz w:val="18"/>
                <w:szCs w:val="18"/>
              </w:rPr>
            </w:pPr>
            <w:r w:rsidRPr="00603541">
              <w:rPr>
                <w:rFonts w:ascii="Garamond" w:hAnsi="Garamond" w:cs="Calibri"/>
                <w:color w:val="000000"/>
                <w:sz w:val="18"/>
                <w:szCs w:val="18"/>
              </w:rPr>
              <w:t>46,1%</w:t>
            </w:r>
          </w:p>
        </w:tc>
        <w:tc>
          <w:tcPr>
            <w:tcW w:w="1985" w:type="dxa"/>
            <w:tcBorders>
              <w:left w:val="nil"/>
              <w:right w:val="nil"/>
            </w:tcBorders>
            <w:shd w:val="clear" w:color="auto" w:fill="auto"/>
            <w:noWrap/>
            <w:vAlign w:val="center"/>
            <w:hideMark/>
          </w:tcPr>
          <w:p w:rsidR="00D77B0E" w:rsidRPr="00603541" w:rsidRDefault="00D77B0E" w:rsidP="00D73F13">
            <w:pPr>
              <w:jc w:val="center"/>
              <w:rPr>
                <w:rFonts w:ascii="Garamond" w:hAnsi="Garamond" w:cs="Calibri"/>
                <w:color w:val="000000"/>
                <w:sz w:val="18"/>
                <w:szCs w:val="18"/>
              </w:rPr>
            </w:pPr>
            <w:r w:rsidRPr="00603541">
              <w:rPr>
                <w:rFonts w:ascii="Garamond" w:hAnsi="Garamond" w:cs="Calibri"/>
                <w:color w:val="000000"/>
                <w:sz w:val="18"/>
                <w:szCs w:val="18"/>
              </w:rPr>
              <w:t>36,8%</w:t>
            </w:r>
          </w:p>
        </w:tc>
      </w:tr>
      <w:tr w:rsidR="00D77B0E" w:rsidRPr="005B7868" w:rsidTr="00D73F13">
        <w:trPr>
          <w:trHeight w:val="240"/>
        </w:trPr>
        <w:tc>
          <w:tcPr>
            <w:tcW w:w="1320" w:type="dxa"/>
            <w:tcBorders>
              <w:left w:val="nil"/>
              <w:right w:val="nil"/>
            </w:tcBorders>
            <w:shd w:val="clear" w:color="auto" w:fill="auto"/>
            <w:vAlign w:val="center"/>
            <w:hideMark/>
          </w:tcPr>
          <w:p w:rsidR="00D77B0E" w:rsidRPr="005B7868" w:rsidRDefault="00D77B0E" w:rsidP="00D73F13">
            <w:pPr>
              <w:rPr>
                <w:rFonts w:ascii="Garamond" w:hAnsi="Garamond" w:cs="Calibri"/>
                <w:color w:val="000000"/>
                <w:sz w:val="18"/>
                <w:szCs w:val="18"/>
              </w:rPr>
            </w:pPr>
            <w:r w:rsidRPr="005B7868">
              <w:rPr>
                <w:rFonts w:ascii="Garamond" w:hAnsi="Garamond" w:cs="Calibri"/>
                <w:color w:val="000000"/>
                <w:sz w:val="18"/>
                <w:szCs w:val="18"/>
              </w:rPr>
              <w:t>Lodi</w:t>
            </w:r>
          </w:p>
        </w:tc>
        <w:tc>
          <w:tcPr>
            <w:tcW w:w="1672" w:type="dxa"/>
            <w:tcBorders>
              <w:left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40,0%</w:t>
            </w:r>
          </w:p>
        </w:tc>
        <w:tc>
          <w:tcPr>
            <w:tcW w:w="1985" w:type="dxa"/>
            <w:tcBorders>
              <w:left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32,7%</w:t>
            </w:r>
          </w:p>
        </w:tc>
      </w:tr>
      <w:tr w:rsidR="00D77B0E" w:rsidRPr="005B7868" w:rsidTr="00D73F13">
        <w:trPr>
          <w:trHeight w:val="240"/>
        </w:trPr>
        <w:tc>
          <w:tcPr>
            <w:tcW w:w="1320" w:type="dxa"/>
            <w:tcBorders>
              <w:left w:val="nil"/>
              <w:right w:val="nil"/>
            </w:tcBorders>
            <w:shd w:val="clear" w:color="auto" w:fill="auto"/>
            <w:vAlign w:val="center"/>
            <w:hideMark/>
          </w:tcPr>
          <w:p w:rsidR="00D77B0E" w:rsidRPr="00F76E5F" w:rsidRDefault="00D77B0E" w:rsidP="00D73F13">
            <w:pPr>
              <w:rPr>
                <w:rFonts w:ascii="Garamond" w:hAnsi="Garamond" w:cs="Calibri"/>
                <w:bCs/>
                <w:color w:val="000000"/>
                <w:sz w:val="18"/>
                <w:szCs w:val="18"/>
              </w:rPr>
            </w:pPr>
            <w:r w:rsidRPr="00F76E5F">
              <w:rPr>
                <w:rFonts w:ascii="Garamond" w:hAnsi="Garamond" w:cs="Calibri"/>
                <w:bCs/>
                <w:color w:val="000000"/>
                <w:sz w:val="18"/>
                <w:szCs w:val="18"/>
              </w:rPr>
              <w:t>Mantova</w:t>
            </w:r>
          </w:p>
        </w:tc>
        <w:tc>
          <w:tcPr>
            <w:tcW w:w="1672" w:type="dxa"/>
            <w:tcBorders>
              <w:left w:val="nil"/>
              <w:right w:val="nil"/>
            </w:tcBorders>
            <w:shd w:val="clear" w:color="auto" w:fill="auto"/>
            <w:noWrap/>
            <w:vAlign w:val="center"/>
            <w:hideMark/>
          </w:tcPr>
          <w:p w:rsidR="00D77B0E" w:rsidRPr="00F76E5F" w:rsidRDefault="00D77B0E" w:rsidP="00D73F13">
            <w:pPr>
              <w:jc w:val="center"/>
              <w:rPr>
                <w:rFonts w:ascii="Garamond" w:hAnsi="Garamond" w:cs="Calibri"/>
                <w:bCs/>
                <w:color w:val="000000"/>
                <w:sz w:val="18"/>
                <w:szCs w:val="18"/>
              </w:rPr>
            </w:pPr>
            <w:r w:rsidRPr="00F76E5F">
              <w:rPr>
                <w:rFonts w:ascii="Garamond" w:hAnsi="Garamond" w:cs="Calibri"/>
                <w:bCs/>
                <w:color w:val="000000"/>
                <w:sz w:val="18"/>
                <w:szCs w:val="18"/>
              </w:rPr>
              <w:t>63,5%</w:t>
            </w:r>
          </w:p>
        </w:tc>
        <w:tc>
          <w:tcPr>
            <w:tcW w:w="1985" w:type="dxa"/>
            <w:tcBorders>
              <w:left w:val="nil"/>
              <w:right w:val="nil"/>
            </w:tcBorders>
            <w:shd w:val="clear" w:color="auto" w:fill="auto"/>
            <w:noWrap/>
            <w:vAlign w:val="center"/>
            <w:hideMark/>
          </w:tcPr>
          <w:p w:rsidR="00D77B0E" w:rsidRPr="00F76E5F" w:rsidRDefault="00D77B0E" w:rsidP="00D73F13">
            <w:pPr>
              <w:jc w:val="center"/>
              <w:rPr>
                <w:rFonts w:ascii="Garamond" w:hAnsi="Garamond" w:cs="Calibri"/>
                <w:bCs/>
                <w:color w:val="000000"/>
                <w:sz w:val="18"/>
                <w:szCs w:val="18"/>
              </w:rPr>
            </w:pPr>
            <w:r w:rsidRPr="00F76E5F">
              <w:rPr>
                <w:rFonts w:ascii="Garamond" w:hAnsi="Garamond" w:cs="Calibri"/>
                <w:bCs/>
                <w:color w:val="000000"/>
                <w:sz w:val="18"/>
                <w:szCs w:val="18"/>
              </w:rPr>
              <w:t>57,1%</w:t>
            </w:r>
          </w:p>
        </w:tc>
      </w:tr>
      <w:tr w:rsidR="00D77B0E" w:rsidRPr="005B7868" w:rsidTr="00D73F13">
        <w:trPr>
          <w:trHeight w:val="240"/>
        </w:trPr>
        <w:tc>
          <w:tcPr>
            <w:tcW w:w="1320" w:type="dxa"/>
            <w:tcBorders>
              <w:left w:val="nil"/>
              <w:bottom w:val="nil"/>
              <w:right w:val="nil"/>
            </w:tcBorders>
            <w:shd w:val="clear" w:color="auto" w:fill="auto"/>
            <w:vAlign w:val="center"/>
            <w:hideMark/>
          </w:tcPr>
          <w:p w:rsidR="00D77B0E" w:rsidRPr="005B7868" w:rsidRDefault="00D77B0E" w:rsidP="00D73F13">
            <w:pPr>
              <w:rPr>
                <w:rFonts w:ascii="Garamond" w:hAnsi="Garamond" w:cs="Calibri"/>
                <w:color w:val="000000"/>
                <w:sz w:val="18"/>
                <w:szCs w:val="18"/>
              </w:rPr>
            </w:pPr>
            <w:r w:rsidRPr="005B7868">
              <w:rPr>
                <w:rFonts w:ascii="Garamond" w:hAnsi="Garamond" w:cs="Calibri"/>
                <w:color w:val="000000"/>
                <w:sz w:val="18"/>
                <w:szCs w:val="18"/>
              </w:rPr>
              <w:t>Milano</w:t>
            </w:r>
          </w:p>
        </w:tc>
        <w:tc>
          <w:tcPr>
            <w:tcW w:w="1672" w:type="dxa"/>
            <w:tcBorders>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56,7%</w:t>
            </w:r>
          </w:p>
        </w:tc>
        <w:tc>
          <w:tcPr>
            <w:tcW w:w="1985" w:type="dxa"/>
            <w:tcBorders>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49,6%</w:t>
            </w:r>
          </w:p>
        </w:tc>
      </w:tr>
      <w:tr w:rsidR="00D77B0E" w:rsidRPr="005B7868" w:rsidTr="00D73F13">
        <w:trPr>
          <w:trHeight w:val="240"/>
        </w:trPr>
        <w:tc>
          <w:tcPr>
            <w:tcW w:w="1320" w:type="dxa"/>
            <w:tcBorders>
              <w:top w:val="nil"/>
              <w:left w:val="nil"/>
              <w:bottom w:val="nil"/>
              <w:right w:val="nil"/>
            </w:tcBorders>
            <w:shd w:val="clear" w:color="auto" w:fill="auto"/>
            <w:vAlign w:val="center"/>
            <w:hideMark/>
          </w:tcPr>
          <w:p w:rsidR="00D77B0E" w:rsidRPr="005B7868" w:rsidRDefault="00D77B0E" w:rsidP="00D73F13">
            <w:pPr>
              <w:rPr>
                <w:rFonts w:ascii="Garamond" w:hAnsi="Garamond" w:cs="Calibri"/>
                <w:color w:val="000000"/>
                <w:sz w:val="18"/>
                <w:szCs w:val="18"/>
              </w:rPr>
            </w:pPr>
            <w:r w:rsidRPr="005B7868">
              <w:rPr>
                <w:rFonts w:ascii="Garamond" w:hAnsi="Garamond" w:cs="Calibri"/>
                <w:color w:val="000000"/>
                <w:sz w:val="18"/>
                <w:szCs w:val="18"/>
              </w:rPr>
              <w:t>Monza Brianza</w:t>
            </w:r>
          </w:p>
        </w:tc>
        <w:tc>
          <w:tcPr>
            <w:tcW w:w="1672"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69,1%</w:t>
            </w:r>
          </w:p>
        </w:tc>
        <w:tc>
          <w:tcPr>
            <w:tcW w:w="1985"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63,6%</w:t>
            </w:r>
          </w:p>
        </w:tc>
      </w:tr>
      <w:tr w:rsidR="00D77B0E" w:rsidRPr="005B7868" w:rsidTr="00D73F13">
        <w:trPr>
          <w:trHeight w:val="240"/>
        </w:trPr>
        <w:tc>
          <w:tcPr>
            <w:tcW w:w="1320" w:type="dxa"/>
            <w:tcBorders>
              <w:top w:val="nil"/>
              <w:left w:val="nil"/>
              <w:bottom w:val="nil"/>
              <w:right w:val="nil"/>
            </w:tcBorders>
            <w:shd w:val="clear" w:color="auto" w:fill="auto"/>
            <w:vAlign w:val="center"/>
            <w:hideMark/>
          </w:tcPr>
          <w:p w:rsidR="00D77B0E" w:rsidRPr="005B7868" w:rsidRDefault="00D77B0E" w:rsidP="00D73F13">
            <w:pPr>
              <w:rPr>
                <w:rFonts w:ascii="Garamond" w:hAnsi="Garamond" w:cs="Calibri"/>
                <w:color w:val="000000"/>
                <w:sz w:val="18"/>
                <w:szCs w:val="18"/>
              </w:rPr>
            </w:pPr>
            <w:r w:rsidRPr="005B7868">
              <w:rPr>
                <w:rFonts w:ascii="Garamond" w:hAnsi="Garamond" w:cs="Calibri"/>
                <w:color w:val="000000"/>
                <w:sz w:val="18"/>
                <w:szCs w:val="18"/>
              </w:rPr>
              <w:t>Pavia</w:t>
            </w:r>
          </w:p>
        </w:tc>
        <w:tc>
          <w:tcPr>
            <w:tcW w:w="1672"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39,8%</w:t>
            </w:r>
          </w:p>
        </w:tc>
        <w:tc>
          <w:tcPr>
            <w:tcW w:w="1985"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34,8%</w:t>
            </w:r>
          </w:p>
        </w:tc>
      </w:tr>
      <w:tr w:rsidR="00D77B0E" w:rsidRPr="005B7868" w:rsidTr="00D73F13">
        <w:trPr>
          <w:trHeight w:val="240"/>
        </w:trPr>
        <w:tc>
          <w:tcPr>
            <w:tcW w:w="1320" w:type="dxa"/>
            <w:tcBorders>
              <w:top w:val="nil"/>
              <w:left w:val="nil"/>
              <w:bottom w:val="nil"/>
              <w:right w:val="nil"/>
            </w:tcBorders>
            <w:shd w:val="clear" w:color="auto" w:fill="auto"/>
            <w:vAlign w:val="center"/>
            <w:hideMark/>
          </w:tcPr>
          <w:p w:rsidR="00D77B0E" w:rsidRPr="005B7868" w:rsidRDefault="00D77B0E" w:rsidP="00D73F13">
            <w:pPr>
              <w:rPr>
                <w:rFonts w:ascii="Garamond" w:hAnsi="Garamond" w:cs="Calibri"/>
                <w:color w:val="000000"/>
                <w:sz w:val="18"/>
                <w:szCs w:val="18"/>
              </w:rPr>
            </w:pPr>
            <w:r w:rsidRPr="005B7868">
              <w:rPr>
                <w:rFonts w:ascii="Garamond" w:hAnsi="Garamond" w:cs="Calibri"/>
                <w:color w:val="000000"/>
                <w:sz w:val="18"/>
                <w:szCs w:val="18"/>
              </w:rPr>
              <w:t>Sondrio</w:t>
            </w:r>
          </w:p>
        </w:tc>
        <w:tc>
          <w:tcPr>
            <w:tcW w:w="1672"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17,1%</w:t>
            </w:r>
          </w:p>
        </w:tc>
        <w:tc>
          <w:tcPr>
            <w:tcW w:w="1985"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17,1%</w:t>
            </w:r>
          </w:p>
        </w:tc>
      </w:tr>
      <w:tr w:rsidR="00D77B0E" w:rsidRPr="005B7868" w:rsidTr="00D73F13">
        <w:trPr>
          <w:trHeight w:val="240"/>
        </w:trPr>
        <w:tc>
          <w:tcPr>
            <w:tcW w:w="1320" w:type="dxa"/>
            <w:tcBorders>
              <w:top w:val="nil"/>
              <w:left w:val="nil"/>
              <w:bottom w:val="nil"/>
              <w:right w:val="nil"/>
            </w:tcBorders>
            <w:shd w:val="clear" w:color="auto" w:fill="auto"/>
            <w:vAlign w:val="center"/>
            <w:hideMark/>
          </w:tcPr>
          <w:p w:rsidR="00D77B0E" w:rsidRPr="005B7868" w:rsidRDefault="00D77B0E" w:rsidP="00D73F13">
            <w:pPr>
              <w:rPr>
                <w:rFonts w:ascii="Garamond" w:hAnsi="Garamond" w:cs="Calibri"/>
                <w:color w:val="000000"/>
                <w:sz w:val="18"/>
                <w:szCs w:val="18"/>
              </w:rPr>
            </w:pPr>
            <w:r w:rsidRPr="005B7868">
              <w:rPr>
                <w:rFonts w:ascii="Garamond" w:hAnsi="Garamond" w:cs="Calibri"/>
                <w:color w:val="000000"/>
                <w:sz w:val="18"/>
                <w:szCs w:val="18"/>
              </w:rPr>
              <w:t>Varese</w:t>
            </w:r>
          </w:p>
        </w:tc>
        <w:tc>
          <w:tcPr>
            <w:tcW w:w="1672"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57,7%</w:t>
            </w:r>
          </w:p>
        </w:tc>
        <w:tc>
          <w:tcPr>
            <w:tcW w:w="1985" w:type="dxa"/>
            <w:tcBorders>
              <w:top w:val="nil"/>
              <w:left w:val="nil"/>
              <w:bottom w:val="nil"/>
              <w:right w:val="nil"/>
            </w:tcBorders>
            <w:shd w:val="clear" w:color="auto" w:fill="auto"/>
            <w:noWrap/>
            <w:vAlign w:val="center"/>
            <w:hideMark/>
          </w:tcPr>
          <w:p w:rsidR="00D77B0E" w:rsidRPr="005B7868" w:rsidRDefault="00D77B0E" w:rsidP="00D73F13">
            <w:pPr>
              <w:jc w:val="center"/>
              <w:rPr>
                <w:rFonts w:ascii="Garamond" w:hAnsi="Garamond" w:cs="Calibri"/>
                <w:color w:val="000000"/>
                <w:sz w:val="18"/>
                <w:szCs w:val="18"/>
              </w:rPr>
            </w:pPr>
            <w:r w:rsidRPr="005B7868">
              <w:rPr>
                <w:rFonts w:ascii="Garamond" w:hAnsi="Garamond" w:cs="Calibri"/>
                <w:color w:val="000000"/>
                <w:sz w:val="18"/>
                <w:szCs w:val="18"/>
              </w:rPr>
              <w:t>48,5%</w:t>
            </w:r>
          </w:p>
        </w:tc>
      </w:tr>
      <w:tr w:rsidR="00D77B0E" w:rsidRPr="005B7868" w:rsidTr="00D73F13">
        <w:trPr>
          <w:trHeight w:val="240"/>
        </w:trPr>
        <w:tc>
          <w:tcPr>
            <w:tcW w:w="1320" w:type="dxa"/>
            <w:tcBorders>
              <w:top w:val="single" w:sz="4" w:space="0" w:color="auto"/>
              <w:left w:val="nil"/>
              <w:bottom w:val="single" w:sz="4" w:space="0" w:color="auto"/>
              <w:right w:val="nil"/>
            </w:tcBorders>
            <w:shd w:val="clear" w:color="auto" w:fill="auto"/>
            <w:vAlign w:val="center"/>
            <w:hideMark/>
          </w:tcPr>
          <w:p w:rsidR="00D77B0E" w:rsidRPr="005B7868" w:rsidRDefault="00D77B0E" w:rsidP="00D73F13">
            <w:pPr>
              <w:rPr>
                <w:rFonts w:ascii="Garamond" w:hAnsi="Garamond" w:cs="Calibri"/>
                <w:b/>
                <w:bCs/>
                <w:color w:val="000000"/>
                <w:sz w:val="18"/>
                <w:szCs w:val="18"/>
              </w:rPr>
            </w:pPr>
            <w:r w:rsidRPr="005B7868">
              <w:rPr>
                <w:rFonts w:ascii="Garamond" w:hAnsi="Garamond" w:cs="Calibri"/>
                <w:b/>
                <w:bCs/>
                <w:color w:val="000000"/>
                <w:sz w:val="18"/>
                <w:szCs w:val="18"/>
              </w:rPr>
              <w:t>Lombardia</w:t>
            </w:r>
          </w:p>
        </w:tc>
        <w:tc>
          <w:tcPr>
            <w:tcW w:w="1672" w:type="dxa"/>
            <w:tcBorders>
              <w:top w:val="single" w:sz="4" w:space="0" w:color="auto"/>
              <w:left w:val="nil"/>
              <w:bottom w:val="single" w:sz="4" w:space="0" w:color="auto"/>
              <w:right w:val="nil"/>
            </w:tcBorders>
            <w:shd w:val="clear" w:color="auto" w:fill="auto"/>
            <w:noWrap/>
            <w:vAlign w:val="center"/>
            <w:hideMark/>
          </w:tcPr>
          <w:p w:rsidR="00D77B0E" w:rsidRPr="005B7868" w:rsidRDefault="00D77B0E" w:rsidP="00D73F13">
            <w:pPr>
              <w:jc w:val="center"/>
              <w:rPr>
                <w:rFonts w:ascii="Garamond" w:hAnsi="Garamond" w:cs="Calibri"/>
                <w:b/>
                <w:bCs/>
                <w:color w:val="000000"/>
                <w:sz w:val="18"/>
                <w:szCs w:val="18"/>
              </w:rPr>
            </w:pPr>
            <w:r w:rsidRPr="005B7868">
              <w:rPr>
                <w:rFonts w:ascii="Garamond" w:hAnsi="Garamond" w:cs="Calibri"/>
                <w:b/>
                <w:bCs/>
                <w:color w:val="000000"/>
                <w:sz w:val="18"/>
                <w:szCs w:val="18"/>
              </w:rPr>
              <w:t>42,4%</w:t>
            </w:r>
          </w:p>
        </w:tc>
        <w:tc>
          <w:tcPr>
            <w:tcW w:w="1985" w:type="dxa"/>
            <w:tcBorders>
              <w:top w:val="single" w:sz="4" w:space="0" w:color="auto"/>
              <w:left w:val="nil"/>
              <w:bottom w:val="single" w:sz="4" w:space="0" w:color="auto"/>
              <w:right w:val="nil"/>
            </w:tcBorders>
            <w:shd w:val="clear" w:color="auto" w:fill="auto"/>
            <w:noWrap/>
            <w:vAlign w:val="center"/>
            <w:hideMark/>
          </w:tcPr>
          <w:p w:rsidR="00D77B0E" w:rsidRPr="005B7868" w:rsidRDefault="00D77B0E" w:rsidP="00D73F13">
            <w:pPr>
              <w:jc w:val="center"/>
              <w:rPr>
                <w:rFonts w:ascii="Garamond" w:hAnsi="Garamond" w:cs="Calibri"/>
                <w:b/>
                <w:bCs/>
                <w:color w:val="000000"/>
                <w:sz w:val="18"/>
                <w:szCs w:val="18"/>
              </w:rPr>
            </w:pPr>
            <w:r w:rsidRPr="005B7868">
              <w:rPr>
                <w:rFonts w:ascii="Garamond" w:hAnsi="Garamond" w:cs="Calibri"/>
                <w:b/>
                <w:bCs/>
                <w:color w:val="000000"/>
                <w:sz w:val="18"/>
                <w:szCs w:val="18"/>
              </w:rPr>
              <w:t>35,6%</w:t>
            </w:r>
          </w:p>
        </w:tc>
      </w:tr>
    </w:tbl>
    <w:p w:rsidR="00D77B0E" w:rsidRDefault="00D77B0E" w:rsidP="00D77B0E">
      <w:pPr>
        <w:rPr>
          <w:rFonts w:ascii="Garamond" w:hAnsi="Garamond"/>
          <w:b/>
          <w:i/>
          <w:sz w:val="18"/>
          <w:szCs w:val="18"/>
        </w:rPr>
      </w:pPr>
      <w:r w:rsidRPr="00C55856">
        <w:rPr>
          <w:rFonts w:ascii="Garamond" w:hAnsi="Garamond"/>
          <w:b/>
          <w:i/>
          <w:sz w:val="18"/>
          <w:szCs w:val="18"/>
        </w:rPr>
        <w:t>Fonte: elaborazioni su dai Ministero dell’Economia delle Finanze</w:t>
      </w:r>
    </w:p>
    <w:p w:rsidR="00D77B0E" w:rsidRDefault="00D77B0E" w:rsidP="00D77B0E">
      <w:pPr>
        <w:rPr>
          <w:rFonts w:ascii="Garamond" w:hAnsi="Garamond"/>
          <w:b/>
          <w:i/>
          <w:sz w:val="18"/>
          <w:szCs w:val="18"/>
        </w:rPr>
      </w:pPr>
      <w:r>
        <w:rPr>
          <w:rFonts w:ascii="Garamond" w:hAnsi="Garamond"/>
          <w:b/>
          <w:i/>
          <w:sz w:val="18"/>
          <w:szCs w:val="18"/>
        </w:rPr>
        <w:t xml:space="preserve">(*) l’incidenza è calcolata sul totale dei comuni per il quale il Ministero dell’Economia e delle Finanze mette a disposizione i dati, complessivamente 1291 comuni. Aggiornamento aprile 2013. </w:t>
      </w:r>
    </w:p>
    <w:p w:rsidR="00D77B0E" w:rsidRDefault="00D77B0E" w:rsidP="00D77B0E">
      <w:pPr>
        <w:spacing w:line="360" w:lineRule="auto"/>
        <w:jc w:val="both"/>
        <w:rPr>
          <w:bCs/>
        </w:rPr>
      </w:pPr>
    </w:p>
    <w:p w:rsidR="00D77B0E" w:rsidRPr="00032734" w:rsidRDefault="00D77B0E" w:rsidP="00D77B0E">
      <w:pPr>
        <w:spacing w:line="360" w:lineRule="auto"/>
        <w:jc w:val="both"/>
        <w:rPr>
          <w:bCs/>
        </w:rPr>
      </w:pPr>
      <w:r w:rsidRPr="00032734">
        <w:rPr>
          <w:bCs/>
        </w:rPr>
        <w:t xml:space="preserve">Appare evidente come </w:t>
      </w:r>
      <w:r>
        <w:rPr>
          <w:bCs/>
        </w:rPr>
        <w:t xml:space="preserve">non </w:t>
      </w:r>
      <w:r w:rsidRPr="00032734">
        <w:rPr>
          <w:bCs/>
        </w:rPr>
        <w:t xml:space="preserve">sia particolarmente diffusa, nella provincia oggetto di analisi, l’applicazione dell’addizionale comunale all’imposta sul reddito preservando i criteri di progressività. La frequenza del calcolo dell’addizionale a scaglioni, infatti, risulta tra le più </w:t>
      </w:r>
      <w:r>
        <w:rPr>
          <w:bCs/>
        </w:rPr>
        <w:t xml:space="preserve">basse in assoluto in </w:t>
      </w:r>
      <w:r w:rsidRPr="00032734">
        <w:rPr>
          <w:bCs/>
        </w:rPr>
        <w:t>Lombardia</w:t>
      </w:r>
      <w:r>
        <w:rPr>
          <w:bCs/>
        </w:rPr>
        <w:t xml:space="preserve"> (subito dopo la provincia di Sondrio)</w:t>
      </w:r>
      <w:r w:rsidRPr="00032734">
        <w:rPr>
          <w:bCs/>
        </w:rPr>
        <w:t>.</w:t>
      </w:r>
    </w:p>
    <w:p w:rsidR="00D77B0E" w:rsidRPr="00032734" w:rsidRDefault="00D77B0E" w:rsidP="00D77B0E">
      <w:pPr>
        <w:spacing w:after="240" w:line="360" w:lineRule="auto"/>
        <w:jc w:val="both"/>
        <w:rPr>
          <w:bCs/>
        </w:rPr>
      </w:pPr>
      <w:r w:rsidRPr="00032734">
        <w:rPr>
          <w:bCs/>
        </w:rPr>
        <w:t>L’elaborazione dei dati ministeriali validi per il 2012, mostra inoltre come i comuni del</w:t>
      </w:r>
      <w:r>
        <w:rPr>
          <w:bCs/>
        </w:rPr>
        <w:t xml:space="preserve">la bergamasca </w:t>
      </w:r>
      <w:r w:rsidRPr="00032734">
        <w:rPr>
          <w:bCs/>
        </w:rPr>
        <w:t>che prevedono l’esenzione, esonerino mediamente dall’applicazione dell’addizionale Irpef i redditi inferiori a 1</w:t>
      </w:r>
      <w:r>
        <w:rPr>
          <w:bCs/>
        </w:rPr>
        <w:t>0.418 euro, un valore molto basso a confronto con la media regionale e la quasi totalità delle province lombarde</w:t>
      </w:r>
      <w:r w:rsidRPr="00032734">
        <w:rPr>
          <w:bCs/>
        </w:rPr>
        <w:t xml:space="preserve">. </w:t>
      </w:r>
    </w:p>
    <w:p w:rsidR="00D77B0E" w:rsidRPr="00C947F3" w:rsidRDefault="00D77B0E" w:rsidP="00D77B0E">
      <w:pPr>
        <w:rPr>
          <w:rFonts w:ascii="Garamond" w:hAnsi="Garamond"/>
          <w:b/>
          <w:sz w:val="20"/>
          <w:szCs w:val="20"/>
        </w:rPr>
      </w:pPr>
      <w:r w:rsidRPr="00C947F3">
        <w:rPr>
          <w:rFonts w:ascii="Garamond" w:hAnsi="Garamond"/>
          <w:b/>
          <w:sz w:val="20"/>
          <w:szCs w:val="20"/>
        </w:rPr>
        <w:t>Lombardia. Reddito massimo imponibile ai fini dell'addizionale irpef, per ricadere nella fascia di esenzione. Media per provincia. Valori in Euro. Anno 2012.</w:t>
      </w:r>
    </w:p>
    <w:p w:rsidR="00D77B0E" w:rsidRDefault="00D77B0E" w:rsidP="00D77B0E">
      <w:pPr>
        <w:rPr>
          <w:rFonts w:ascii="Garamond" w:hAnsi="Garamond" w:cs="Verdana"/>
          <w:b/>
          <w:sz w:val="22"/>
          <w:szCs w:val="22"/>
        </w:rPr>
      </w:pPr>
      <w:r>
        <w:rPr>
          <w:rFonts w:ascii="Garamond" w:hAnsi="Garamond" w:cs="Verdana"/>
          <w:b/>
          <w:noProof/>
          <w:sz w:val="22"/>
          <w:szCs w:val="22"/>
        </w:rPr>
        <w:drawing>
          <wp:inline distT="0" distB="0" distL="0" distR="0">
            <wp:extent cx="3898900" cy="2341542"/>
            <wp:effectExtent l="0" t="0" r="6350" b="190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1125" cy="2342878"/>
                    </a:xfrm>
                    <a:prstGeom prst="rect">
                      <a:avLst/>
                    </a:prstGeom>
                    <a:noFill/>
                  </pic:spPr>
                </pic:pic>
              </a:graphicData>
            </a:graphic>
          </wp:inline>
        </w:drawing>
      </w:r>
    </w:p>
    <w:p w:rsidR="00D77B0E" w:rsidRPr="00C55856" w:rsidRDefault="00D77B0E" w:rsidP="00D77B0E">
      <w:pPr>
        <w:rPr>
          <w:rFonts w:ascii="Garamond" w:hAnsi="Garamond"/>
          <w:b/>
          <w:i/>
          <w:sz w:val="18"/>
          <w:szCs w:val="18"/>
        </w:rPr>
      </w:pPr>
      <w:r w:rsidRPr="00C55856">
        <w:rPr>
          <w:rFonts w:ascii="Garamond" w:hAnsi="Garamond"/>
          <w:b/>
          <w:i/>
          <w:sz w:val="18"/>
          <w:szCs w:val="18"/>
        </w:rPr>
        <w:t>Fonte: elaborazioni su dai Ministero dell’Economia delle Finanze</w:t>
      </w:r>
    </w:p>
    <w:p w:rsidR="00D77B0E" w:rsidRPr="00032734" w:rsidRDefault="00D77B0E" w:rsidP="00D77B0E">
      <w:pPr>
        <w:spacing w:before="360" w:line="360" w:lineRule="auto"/>
        <w:jc w:val="both"/>
        <w:rPr>
          <w:bCs/>
        </w:rPr>
      </w:pPr>
    </w:p>
    <w:p w:rsidR="00D77B0E" w:rsidRPr="00032734" w:rsidRDefault="00D77B0E" w:rsidP="00D77B0E">
      <w:pPr>
        <w:spacing w:line="360" w:lineRule="auto"/>
        <w:jc w:val="both"/>
        <w:rPr>
          <w:bCs/>
        </w:rPr>
      </w:pPr>
      <w:r>
        <w:rPr>
          <w:bCs/>
        </w:rPr>
        <w:t>Risultano</w:t>
      </w:r>
      <w:r w:rsidRPr="00032734">
        <w:rPr>
          <w:bCs/>
        </w:rPr>
        <w:t xml:space="preserve"> </w:t>
      </w:r>
      <w:r>
        <w:rPr>
          <w:bCs/>
        </w:rPr>
        <w:t>in ogni modo</w:t>
      </w:r>
      <w:r w:rsidRPr="00032734">
        <w:rPr>
          <w:bCs/>
        </w:rPr>
        <w:t xml:space="preserve"> </w:t>
      </w:r>
      <w:r>
        <w:rPr>
          <w:bCs/>
        </w:rPr>
        <w:t>piuttosto numerosi</w:t>
      </w:r>
      <w:r w:rsidRPr="00032734">
        <w:rPr>
          <w:bCs/>
        </w:rPr>
        <w:t xml:space="preserve"> i casi in cui le amministrazioni interpretano, in realtà, l’applicazione della “multialiquota” intesa piuttosto come aliquota ordinaria ed una prima fascia di esenzione; questo accade </w:t>
      </w:r>
      <w:r>
        <w:rPr>
          <w:bCs/>
        </w:rPr>
        <w:t>in circa il 60</w:t>
      </w:r>
      <w:r w:rsidRPr="00032734">
        <w:rPr>
          <w:bCs/>
        </w:rPr>
        <w:t xml:space="preserve">% dei casi nella provincia di </w:t>
      </w:r>
      <w:r>
        <w:rPr>
          <w:bCs/>
        </w:rPr>
        <w:t>Bergamo</w:t>
      </w:r>
      <w:r w:rsidRPr="00032734">
        <w:rPr>
          <w:bCs/>
        </w:rPr>
        <w:t>, esemplificando comunque un fenomeno alquanto diffuso in tutta la regione.</w:t>
      </w:r>
    </w:p>
    <w:p w:rsidR="00D77B0E" w:rsidRPr="00032734" w:rsidRDefault="00D77B0E" w:rsidP="00D77B0E">
      <w:pPr>
        <w:spacing w:line="360" w:lineRule="auto"/>
        <w:jc w:val="both"/>
        <w:rPr>
          <w:bCs/>
        </w:rPr>
      </w:pPr>
      <w:r>
        <w:rPr>
          <w:bCs/>
        </w:rPr>
        <w:t xml:space="preserve">Se si accompagna quest’ultima considerazione </w:t>
      </w:r>
      <w:r w:rsidRPr="00032734">
        <w:rPr>
          <w:bCs/>
        </w:rPr>
        <w:t>all’esplicita esclusione, precedentemente illustrata, della “no tax area”</w:t>
      </w:r>
      <w:r>
        <w:rPr>
          <w:bCs/>
        </w:rPr>
        <w:t>,</w:t>
      </w:r>
      <w:r w:rsidRPr="00032734">
        <w:rPr>
          <w:bCs/>
        </w:rPr>
        <w:t xml:space="preserve"> appare chiaro quindi come di fatto per tutti i redditi al di sopra della fascia di esenzione venga a mancare quella </w:t>
      </w:r>
      <w:r>
        <w:rPr>
          <w:bCs/>
        </w:rPr>
        <w:t>“</w:t>
      </w:r>
      <w:r w:rsidRPr="00032734">
        <w:rPr>
          <w:rStyle w:val="Enfasicorsivo"/>
        </w:rPr>
        <w:t xml:space="preserve">razionalità del sistema tributario nel suo complesso e la salvaguardia dei criteri di progressività” immaginata nel </w:t>
      </w:r>
      <w:r w:rsidRPr="00032734">
        <w:t>D.L. n. 138/2011.</w:t>
      </w:r>
    </w:p>
    <w:p w:rsidR="00D77B0E" w:rsidRDefault="00D77B0E" w:rsidP="00D77B0E">
      <w:pPr>
        <w:spacing w:line="360" w:lineRule="auto"/>
        <w:jc w:val="both"/>
        <w:rPr>
          <w:bCs/>
        </w:rPr>
      </w:pPr>
      <w:r>
        <w:rPr>
          <w:bCs/>
        </w:rPr>
        <w:t>Occorre inoltre aggiungere come</w:t>
      </w:r>
      <w:r w:rsidRPr="00032734">
        <w:rPr>
          <w:bCs/>
        </w:rPr>
        <w:t xml:space="preserve"> l’applicazione della soglia di esenzione p</w:t>
      </w:r>
      <w:r>
        <w:rPr>
          <w:bCs/>
        </w:rPr>
        <w:t>are</w:t>
      </w:r>
      <w:r w:rsidRPr="00032734">
        <w:rPr>
          <w:bCs/>
        </w:rPr>
        <w:t xml:space="preserve"> </w:t>
      </w:r>
      <w:r>
        <w:rPr>
          <w:bCs/>
        </w:rPr>
        <w:t xml:space="preserve">giustificare l’applicazione di </w:t>
      </w:r>
      <w:r w:rsidRPr="00032734">
        <w:rPr>
          <w:bCs/>
        </w:rPr>
        <w:t>un’aliquota ordinaria più elevata</w:t>
      </w:r>
      <w:r>
        <w:rPr>
          <w:bCs/>
        </w:rPr>
        <w:t xml:space="preserve">.  </w:t>
      </w:r>
    </w:p>
    <w:p w:rsidR="00D77B0E" w:rsidRDefault="00D77B0E" w:rsidP="00D77B0E">
      <w:pPr>
        <w:rPr>
          <w:rFonts w:ascii="Garamond" w:hAnsi="Garamond"/>
          <w:b/>
          <w:sz w:val="20"/>
          <w:szCs w:val="20"/>
        </w:rPr>
      </w:pPr>
    </w:p>
    <w:p w:rsidR="00D77B0E" w:rsidRDefault="00D77B0E" w:rsidP="00D77B0E">
      <w:pPr>
        <w:rPr>
          <w:rFonts w:ascii="Garamond" w:hAnsi="Garamond"/>
          <w:b/>
          <w:sz w:val="20"/>
          <w:szCs w:val="20"/>
        </w:rPr>
      </w:pPr>
      <w:r>
        <w:rPr>
          <w:rFonts w:ascii="Garamond" w:hAnsi="Garamond"/>
          <w:b/>
          <w:sz w:val="20"/>
          <w:szCs w:val="20"/>
        </w:rPr>
        <w:t xml:space="preserve">Comuni che hanno  applicato nel 2012 l’aliquota unica nel calcolo dell’addizionale Irpef. </w:t>
      </w:r>
    </w:p>
    <w:p w:rsidR="00D77B0E" w:rsidRDefault="00D77B0E" w:rsidP="00D77B0E">
      <w:pPr>
        <w:rPr>
          <w:rFonts w:ascii="Garamond" w:hAnsi="Garamond"/>
          <w:b/>
          <w:sz w:val="20"/>
          <w:szCs w:val="20"/>
        </w:rPr>
      </w:pPr>
      <w:r w:rsidRPr="00C55856">
        <w:rPr>
          <w:rFonts w:ascii="Garamond" w:hAnsi="Garamond"/>
          <w:b/>
          <w:sz w:val="20"/>
          <w:szCs w:val="20"/>
        </w:rPr>
        <w:t>Incidenza % sul totale dei comuni</w:t>
      </w:r>
      <w:r>
        <w:rPr>
          <w:rFonts w:ascii="Garamond" w:hAnsi="Garamond"/>
          <w:b/>
          <w:sz w:val="20"/>
          <w:szCs w:val="20"/>
        </w:rPr>
        <w:t>(*) e aliquota media applicata</w:t>
      </w:r>
      <w:r w:rsidRPr="00C55856">
        <w:rPr>
          <w:rFonts w:ascii="Garamond" w:hAnsi="Garamond"/>
          <w:b/>
          <w:sz w:val="20"/>
          <w:szCs w:val="20"/>
        </w:rPr>
        <w:t>. Dati provinciali.</w:t>
      </w:r>
    </w:p>
    <w:tbl>
      <w:tblPr>
        <w:tblW w:w="6080" w:type="dxa"/>
        <w:tblInd w:w="55" w:type="dxa"/>
        <w:tblCellMar>
          <w:left w:w="70" w:type="dxa"/>
          <w:right w:w="70" w:type="dxa"/>
        </w:tblCellMar>
        <w:tblLook w:val="04A0"/>
      </w:tblPr>
      <w:tblGrid>
        <w:gridCol w:w="1480"/>
        <w:gridCol w:w="1260"/>
        <w:gridCol w:w="1420"/>
        <w:gridCol w:w="960"/>
        <w:gridCol w:w="960"/>
      </w:tblGrid>
      <w:tr w:rsidR="00D77B0E" w:rsidRPr="00752766" w:rsidTr="00D73F13">
        <w:trPr>
          <w:trHeight w:val="828"/>
        </w:trPr>
        <w:tc>
          <w:tcPr>
            <w:tcW w:w="1480" w:type="dxa"/>
            <w:tcBorders>
              <w:top w:val="single" w:sz="4" w:space="0" w:color="auto"/>
              <w:left w:val="nil"/>
              <w:bottom w:val="single" w:sz="4" w:space="0" w:color="auto"/>
              <w:right w:val="nil"/>
            </w:tcBorders>
            <w:shd w:val="clear" w:color="auto" w:fill="auto"/>
            <w:noWrap/>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 </w:t>
            </w:r>
          </w:p>
        </w:tc>
        <w:tc>
          <w:tcPr>
            <w:tcW w:w="1260" w:type="dxa"/>
            <w:tcBorders>
              <w:top w:val="single" w:sz="4" w:space="0" w:color="auto"/>
              <w:left w:val="nil"/>
              <w:bottom w:val="single" w:sz="4" w:space="0" w:color="auto"/>
              <w:right w:val="nil"/>
            </w:tcBorders>
            <w:shd w:val="clear" w:color="auto" w:fill="auto"/>
            <w:vAlign w:val="center"/>
            <w:hideMark/>
          </w:tcPr>
          <w:p w:rsidR="00D77B0E" w:rsidRPr="00752766" w:rsidRDefault="00D77B0E" w:rsidP="00D73F13">
            <w:pPr>
              <w:jc w:val="center"/>
              <w:rPr>
                <w:rFonts w:ascii="Garamond" w:hAnsi="Garamond" w:cs="Calibri"/>
                <w:b/>
                <w:bCs/>
                <w:color w:val="000000"/>
                <w:sz w:val="18"/>
                <w:szCs w:val="18"/>
              </w:rPr>
            </w:pPr>
            <w:r w:rsidRPr="00752766">
              <w:rPr>
                <w:rFonts w:ascii="Garamond" w:hAnsi="Garamond" w:cs="Calibri"/>
                <w:b/>
                <w:bCs/>
                <w:color w:val="000000"/>
                <w:sz w:val="18"/>
                <w:szCs w:val="18"/>
              </w:rPr>
              <w:t>N. Comuni</w:t>
            </w:r>
          </w:p>
        </w:tc>
        <w:tc>
          <w:tcPr>
            <w:tcW w:w="1420" w:type="dxa"/>
            <w:tcBorders>
              <w:top w:val="single" w:sz="4" w:space="0" w:color="auto"/>
              <w:left w:val="nil"/>
              <w:bottom w:val="single" w:sz="4" w:space="0" w:color="auto"/>
              <w:right w:val="nil"/>
            </w:tcBorders>
            <w:shd w:val="clear" w:color="auto" w:fill="auto"/>
            <w:vAlign w:val="center"/>
            <w:hideMark/>
          </w:tcPr>
          <w:p w:rsidR="00D77B0E" w:rsidRPr="00752766" w:rsidRDefault="00D77B0E" w:rsidP="00D73F13">
            <w:pPr>
              <w:jc w:val="center"/>
              <w:rPr>
                <w:rFonts w:ascii="Garamond" w:hAnsi="Garamond" w:cs="Calibri"/>
                <w:b/>
                <w:bCs/>
                <w:color w:val="000000"/>
                <w:sz w:val="18"/>
                <w:szCs w:val="18"/>
              </w:rPr>
            </w:pPr>
            <w:r w:rsidRPr="00752766">
              <w:rPr>
                <w:rFonts w:ascii="Garamond" w:hAnsi="Garamond" w:cs="Calibri"/>
                <w:b/>
                <w:bCs/>
                <w:color w:val="000000"/>
                <w:sz w:val="18"/>
                <w:szCs w:val="18"/>
              </w:rPr>
              <w:t>Incidenza sul totale dei comuni</w:t>
            </w:r>
          </w:p>
        </w:tc>
        <w:tc>
          <w:tcPr>
            <w:tcW w:w="960" w:type="dxa"/>
            <w:tcBorders>
              <w:top w:val="single" w:sz="4" w:space="0" w:color="auto"/>
              <w:left w:val="nil"/>
              <w:bottom w:val="single" w:sz="4" w:space="0" w:color="auto"/>
              <w:right w:val="nil"/>
            </w:tcBorders>
            <w:shd w:val="clear" w:color="auto" w:fill="auto"/>
            <w:vAlign w:val="center"/>
            <w:hideMark/>
          </w:tcPr>
          <w:p w:rsidR="00D77B0E" w:rsidRPr="00752766" w:rsidRDefault="00D77B0E" w:rsidP="00D73F13">
            <w:pPr>
              <w:jc w:val="center"/>
              <w:rPr>
                <w:rFonts w:ascii="Garamond" w:hAnsi="Garamond" w:cs="Calibri"/>
                <w:b/>
                <w:bCs/>
                <w:color w:val="000000"/>
                <w:sz w:val="18"/>
                <w:szCs w:val="18"/>
              </w:rPr>
            </w:pPr>
            <w:r w:rsidRPr="00752766">
              <w:rPr>
                <w:rFonts w:ascii="Garamond" w:hAnsi="Garamond" w:cs="Calibri"/>
                <w:b/>
                <w:bCs/>
                <w:color w:val="000000"/>
                <w:sz w:val="18"/>
                <w:szCs w:val="18"/>
              </w:rPr>
              <w:t>Aliquota Media Applicata</w:t>
            </w:r>
          </w:p>
        </w:tc>
        <w:tc>
          <w:tcPr>
            <w:tcW w:w="960" w:type="dxa"/>
            <w:tcBorders>
              <w:top w:val="single" w:sz="4" w:space="0" w:color="auto"/>
              <w:left w:val="nil"/>
              <w:bottom w:val="single" w:sz="4" w:space="0" w:color="auto"/>
              <w:right w:val="nil"/>
            </w:tcBorders>
            <w:shd w:val="clear" w:color="auto" w:fill="auto"/>
            <w:vAlign w:val="center"/>
            <w:hideMark/>
          </w:tcPr>
          <w:p w:rsidR="00D77B0E" w:rsidRPr="00752766" w:rsidRDefault="00D77B0E" w:rsidP="00D73F13">
            <w:pPr>
              <w:jc w:val="center"/>
              <w:rPr>
                <w:rFonts w:ascii="Garamond" w:hAnsi="Garamond" w:cs="Calibri"/>
                <w:b/>
                <w:bCs/>
                <w:color w:val="000000"/>
                <w:sz w:val="18"/>
                <w:szCs w:val="18"/>
              </w:rPr>
            </w:pPr>
            <w:r w:rsidRPr="00752766">
              <w:rPr>
                <w:rFonts w:ascii="Garamond" w:hAnsi="Garamond" w:cs="Calibri"/>
                <w:b/>
                <w:bCs/>
                <w:color w:val="000000"/>
                <w:sz w:val="32"/>
                <w:szCs w:val="32"/>
              </w:rPr>
              <w:t>σ</w:t>
            </w:r>
            <w:r w:rsidRPr="00752766">
              <w:rPr>
                <w:rFonts w:ascii="Garamond" w:hAnsi="Garamond" w:cs="Calibri"/>
                <w:b/>
                <w:bCs/>
                <w:color w:val="000000"/>
                <w:sz w:val="18"/>
                <w:szCs w:val="18"/>
              </w:rPr>
              <w:t xml:space="preserve"> (</w:t>
            </w:r>
            <w:r w:rsidRPr="00CC727A">
              <w:rPr>
                <w:rFonts w:ascii="Garamond" w:hAnsi="Garamond" w:cs="Calibri"/>
                <w:bCs/>
                <w:i/>
                <w:color w:val="000000"/>
                <w:sz w:val="18"/>
                <w:szCs w:val="18"/>
              </w:rPr>
              <w:t>(Dev. Standard)</w:t>
            </w:r>
          </w:p>
        </w:tc>
      </w:tr>
      <w:tr w:rsidR="00D77B0E" w:rsidRPr="00F515D2" w:rsidTr="00D73F13">
        <w:trPr>
          <w:trHeight w:val="240"/>
        </w:trPr>
        <w:tc>
          <w:tcPr>
            <w:tcW w:w="1480" w:type="dxa"/>
            <w:tcBorders>
              <w:top w:val="nil"/>
              <w:left w:val="nil"/>
              <w:bottom w:val="nil"/>
              <w:right w:val="nil"/>
            </w:tcBorders>
            <w:shd w:val="clear" w:color="auto" w:fill="auto"/>
            <w:vAlign w:val="center"/>
            <w:hideMark/>
          </w:tcPr>
          <w:p w:rsidR="00D77B0E" w:rsidRPr="00F515D2" w:rsidRDefault="00D77B0E" w:rsidP="00D73F13">
            <w:pPr>
              <w:rPr>
                <w:rFonts w:ascii="Garamond" w:hAnsi="Garamond" w:cs="Calibri"/>
                <w:b/>
                <w:color w:val="000000"/>
                <w:sz w:val="18"/>
                <w:szCs w:val="18"/>
              </w:rPr>
            </w:pPr>
            <w:r w:rsidRPr="00F515D2">
              <w:rPr>
                <w:rFonts w:ascii="Garamond" w:hAnsi="Garamond" w:cs="Calibri"/>
                <w:b/>
                <w:color w:val="000000"/>
                <w:sz w:val="18"/>
                <w:szCs w:val="18"/>
              </w:rPr>
              <w:t>Bergamo</w:t>
            </w:r>
          </w:p>
        </w:tc>
        <w:tc>
          <w:tcPr>
            <w:tcW w:w="1260" w:type="dxa"/>
            <w:tcBorders>
              <w:top w:val="nil"/>
              <w:left w:val="nil"/>
              <w:bottom w:val="nil"/>
              <w:right w:val="nil"/>
            </w:tcBorders>
            <w:shd w:val="clear" w:color="auto" w:fill="auto"/>
            <w:vAlign w:val="center"/>
            <w:hideMark/>
          </w:tcPr>
          <w:p w:rsidR="00D77B0E" w:rsidRPr="00F515D2" w:rsidRDefault="00D77B0E" w:rsidP="00D73F13">
            <w:pPr>
              <w:jc w:val="center"/>
              <w:rPr>
                <w:rFonts w:ascii="Garamond" w:hAnsi="Garamond" w:cs="Calibri"/>
                <w:b/>
                <w:color w:val="000000"/>
                <w:sz w:val="18"/>
                <w:szCs w:val="18"/>
              </w:rPr>
            </w:pPr>
            <w:r w:rsidRPr="00F515D2">
              <w:rPr>
                <w:rFonts w:ascii="Garamond" w:hAnsi="Garamond" w:cs="Calibri"/>
                <w:b/>
                <w:color w:val="000000"/>
                <w:sz w:val="18"/>
                <w:szCs w:val="18"/>
              </w:rPr>
              <w:t>152</w:t>
            </w:r>
          </w:p>
        </w:tc>
        <w:tc>
          <w:tcPr>
            <w:tcW w:w="1420" w:type="dxa"/>
            <w:tcBorders>
              <w:top w:val="nil"/>
              <w:left w:val="nil"/>
              <w:bottom w:val="nil"/>
              <w:right w:val="nil"/>
            </w:tcBorders>
            <w:shd w:val="clear" w:color="auto" w:fill="auto"/>
            <w:noWrap/>
            <w:vAlign w:val="center"/>
            <w:hideMark/>
          </w:tcPr>
          <w:p w:rsidR="00D77B0E" w:rsidRPr="00F515D2" w:rsidRDefault="00D77B0E" w:rsidP="00D73F13">
            <w:pPr>
              <w:jc w:val="center"/>
              <w:rPr>
                <w:rFonts w:ascii="Garamond" w:hAnsi="Garamond" w:cs="Calibri"/>
                <w:b/>
                <w:color w:val="000000"/>
                <w:sz w:val="18"/>
                <w:szCs w:val="18"/>
              </w:rPr>
            </w:pPr>
            <w:r w:rsidRPr="00F515D2">
              <w:rPr>
                <w:rFonts w:ascii="Garamond" w:hAnsi="Garamond" w:cs="Calibri"/>
                <w:b/>
                <w:color w:val="000000"/>
                <w:sz w:val="18"/>
                <w:szCs w:val="18"/>
              </w:rPr>
              <w:t>75,2%</w:t>
            </w:r>
          </w:p>
        </w:tc>
        <w:tc>
          <w:tcPr>
            <w:tcW w:w="960" w:type="dxa"/>
            <w:tcBorders>
              <w:top w:val="nil"/>
              <w:left w:val="nil"/>
              <w:bottom w:val="nil"/>
              <w:right w:val="nil"/>
            </w:tcBorders>
            <w:shd w:val="clear" w:color="auto" w:fill="auto"/>
            <w:noWrap/>
            <w:vAlign w:val="center"/>
            <w:hideMark/>
          </w:tcPr>
          <w:p w:rsidR="00D77B0E" w:rsidRPr="00F515D2" w:rsidRDefault="00D77B0E" w:rsidP="00D73F13">
            <w:pPr>
              <w:jc w:val="center"/>
              <w:rPr>
                <w:rFonts w:ascii="Garamond" w:hAnsi="Garamond" w:cs="Calibri"/>
                <w:b/>
                <w:color w:val="000000"/>
                <w:sz w:val="18"/>
                <w:szCs w:val="18"/>
              </w:rPr>
            </w:pPr>
            <w:r w:rsidRPr="00F515D2">
              <w:rPr>
                <w:rFonts w:ascii="Garamond" w:hAnsi="Garamond" w:cs="Calibri"/>
                <w:b/>
                <w:color w:val="000000"/>
                <w:sz w:val="18"/>
                <w:szCs w:val="18"/>
              </w:rPr>
              <w:t>0,46</w:t>
            </w:r>
          </w:p>
        </w:tc>
        <w:tc>
          <w:tcPr>
            <w:tcW w:w="960" w:type="dxa"/>
            <w:tcBorders>
              <w:top w:val="nil"/>
              <w:left w:val="nil"/>
              <w:bottom w:val="nil"/>
              <w:right w:val="nil"/>
            </w:tcBorders>
            <w:shd w:val="clear" w:color="auto" w:fill="auto"/>
            <w:noWrap/>
            <w:vAlign w:val="center"/>
            <w:hideMark/>
          </w:tcPr>
          <w:p w:rsidR="00D77B0E" w:rsidRPr="00F515D2" w:rsidRDefault="00D77B0E" w:rsidP="00D73F13">
            <w:pPr>
              <w:jc w:val="center"/>
              <w:rPr>
                <w:rFonts w:ascii="Garamond" w:hAnsi="Garamond" w:cs="Calibri"/>
                <w:b/>
                <w:color w:val="000000"/>
                <w:sz w:val="18"/>
                <w:szCs w:val="18"/>
              </w:rPr>
            </w:pPr>
            <w:r w:rsidRPr="00F515D2">
              <w:rPr>
                <w:rFonts w:ascii="Garamond" w:hAnsi="Garamond" w:cs="Calibri"/>
                <w:b/>
                <w:color w:val="000000"/>
                <w:sz w:val="18"/>
                <w:szCs w:val="18"/>
              </w:rPr>
              <w:t>0,178</w:t>
            </w:r>
          </w:p>
        </w:tc>
      </w:tr>
      <w:tr w:rsidR="00D77B0E" w:rsidRPr="00752766" w:rsidTr="00D73F13">
        <w:trPr>
          <w:trHeight w:val="240"/>
        </w:trPr>
        <w:tc>
          <w:tcPr>
            <w:tcW w:w="1480" w:type="dxa"/>
            <w:tcBorders>
              <w:top w:val="nil"/>
              <w:left w:val="nil"/>
              <w:bottom w:val="nil"/>
              <w:right w:val="nil"/>
            </w:tcBorders>
            <w:shd w:val="clear" w:color="auto" w:fill="auto"/>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Brescia</w:t>
            </w:r>
          </w:p>
        </w:tc>
        <w:tc>
          <w:tcPr>
            <w:tcW w:w="1260" w:type="dxa"/>
            <w:tcBorders>
              <w:top w:val="nil"/>
              <w:left w:val="nil"/>
              <w:bottom w:val="nil"/>
              <w:right w:val="nil"/>
            </w:tcBorders>
            <w:shd w:val="clear" w:color="auto" w:fill="auto"/>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76</w:t>
            </w:r>
          </w:p>
        </w:tc>
        <w:tc>
          <w:tcPr>
            <w:tcW w:w="142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51,0%</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0,40</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0,164</w:t>
            </w:r>
          </w:p>
        </w:tc>
      </w:tr>
      <w:tr w:rsidR="00D77B0E" w:rsidRPr="00752766" w:rsidTr="00D73F13">
        <w:trPr>
          <w:trHeight w:val="240"/>
        </w:trPr>
        <w:tc>
          <w:tcPr>
            <w:tcW w:w="1480" w:type="dxa"/>
            <w:tcBorders>
              <w:top w:val="nil"/>
              <w:left w:val="nil"/>
              <w:bottom w:val="nil"/>
              <w:right w:val="nil"/>
            </w:tcBorders>
            <w:shd w:val="clear" w:color="auto" w:fill="auto"/>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Como</w:t>
            </w:r>
          </w:p>
        </w:tc>
        <w:tc>
          <w:tcPr>
            <w:tcW w:w="1260" w:type="dxa"/>
            <w:tcBorders>
              <w:top w:val="nil"/>
              <w:left w:val="nil"/>
              <w:bottom w:val="nil"/>
              <w:right w:val="nil"/>
            </w:tcBorders>
            <w:shd w:val="clear" w:color="auto" w:fill="auto"/>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84</w:t>
            </w:r>
          </w:p>
        </w:tc>
        <w:tc>
          <w:tcPr>
            <w:tcW w:w="142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65,1%</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0,40</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0,178</w:t>
            </w:r>
          </w:p>
        </w:tc>
      </w:tr>
      <w:tr w:rsidR="00D77B0E" w:rsidRPr="00752766" w:rsidTr="00D73F13">
        <w:trPr>
          <w:trHeight w:val="240"/>
        </w:trPr>
        <w:tc>
          <w:tcPr>
            <w:tcW w:w="1480" w:type="dxa"/>
            <w:tcBorders>
              <w:top w:val="nil"/>
              <w:left w:val="nil"/>
              <w:right w:val="nil"/>
            </w:tcBorders>
            <w:shd w:val="clear" w:color="auto" w:fill="auto"/>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Cremona</w:t>
            </w:r>
          </w:p>
        </w:tc>
        <w:tc>
          <w:tcPr>
            <w:tcW w:w="1260" w:type="dxa"/>
            <w:tcBorders>
              <w:top w:val="nil"/>
              <w:left w:val="nil"/>
              <w:right w:val="nil"/>
            </w:tcBorders>
            <w:shd w:val="clear" w:color="auto" w:fill="auto"/>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68</w:t>
            </w:r>
          </w:p>
        </w:tc>
        <w:tc>
          <w:tcPr>
            <w:tcW w:w="1420" w:type="dxa"/>
            <w:tcBorders>
              <w:top w:val="nil"/>
              <w:left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66,0%</w:t>
            </w:r>
          </w:p>
        </w:tc>
        <w:tc>
          <w:tcPr>
            <w:tcW w:w="960" w:type="dxa"/>
            <w:tcBorders>
              <w:top w:val="nil"/>
              <w:left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0,42</w:t>
            </w:r>
          </w:p>
        </w:tc>
        <w:tc>
          <w:tcPr>
            <w:tcW w:w="960" w:type="dxa"/>
            <w:tcBorders>
              <w:top w:val="nil"/>
              <w:left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0,152</w:t>
            </w:r>
          </w:p>
        </w:tc>
      </w:tr>
      <w:tr w:rsidR="00D77B0E" w:rsidRPr="00F515D2" w:rsidTr="00D73F13">
        <w:trPr>
          <w:trHeight w:val="240"/>
        </w:trPr>
        <w:tc>
          <w:tcPr>
            <w:tcW w:w="1480" w:type="dxa"/>
            <w:tcBorders>
              <w:left w:val="nil"/>
              <w:right w:val="nil"/>
            </w:tcBorders>
            <w:shd w:val="clear" w:color="auto" w:fill="auto"/>
            <w:vAlign w:val="center"/>
            <w:hideMark/>
          </w:tcPr>
          <w:p w:rsidR="00D77B0E" w:rsidRPr="00F515D2" w:rsidRDefault="00D77B0E" w:rsidP="00D73F13">
            <w:pPr>
              <w:rPr>
                <w:rFonts w:ascii="Garamond" w:hAnsi="Garamond" w:cs="Calibri"/>
                <w:color w:val="000000"/>
                <w:sz w:val="18"/>
                <w:szCs w:val="18"/>
              </w:rPr>
            </w:pPr>
            <w:r w:rsidRPr="00F515D2">
              <w:rPr>
                <w:rFonts w:ascii="Garamond" w:hAnsi="Garamond" w:cs="Calibri"/>
                <w:color w:val="000000"/>
                <w:sz w:val="18"/>
                <w:szCs w:val="18"/>
              </w:rPr>
              <w:t>Lecco</w:t>
            </w:r>
          </w:p>
        </w:tc>
        <w:tc>
          <w:tcPr>
            <w:tcW w:w="1260" w:type="dxa"/>
            <w:tcBorders>
              <w:left w:val="nil"/>
              <w:right w:val="nil"/>
            </w:tcBorders>
            <w:shd w:val="clear" w:color="auto" w:fill="auto"/>
            <w:vAlign w:val="center"/>
            <w:hideMark/>
          </w:tcPr>
          <w:p w:rsidR="00D77B0E" w:rsidRPr="00F515D2" w:rsidRDefault="00D77B0E" w:rsidP="00D73F13">
            <w:pPr>
              <w:jc w:val="center"/>
              <w:rPr>
                <w:rFonts w:ascii="Garamond" w:hAnsi="Garamond" w:cs="Calibri"/>
                <w:color w:val="000000"/>
                <w:sz w:val="18"/>
                <w:szCs w:val="18"/>
              </w:rPr>
            </w:pPr>
            <w:r w:rsidRPr="00F515D2">
              <w:rPr>
                <w:rFonts w:ascii="Garamond" w:hAnsi="Garamond" w:cs="Calibri"/>
                <w:color w:val="000000"/>
                <w:sz w:val="18"/>
                <w:szCs w:val="18"/>
              </w:rPr>
              <w:t>40</w:t>
            </w:r>
          </w:p>
        </w:tc>
        <w:tc>
          <w:tcPr>
            <w:tcW w:w="1420" w:type="dxa"/>
            <w:tcBorders>
              <w:left w:val="nil"/>
              <w:right w:val="nil"/>
            </w:tcBorders>
            <w:shd w:val="clear" w:color="auto" w:fill="auto"/>
            <w:noWrap/>
            <w:vAlign w:val="center"/>
            <w:hideMark/>
          </w:tcPr>
          <w:p w:rsidR="00D77B0E" w:rsidRPr="00F515D2" w:rsidRDefault="00D77B0E" w:rsidP="00D73F13">
            <w:pPr>
              <w:jc w:val="center"/>
              <w:rPr>
                <w:rFonts w:ascii="Garamond" w:hAnsi="Garamond" w:cs="Calibri"/>
                <w:color w:val="000000"/>
                <w:sz w:val="18"/>
                <w:szCs w:val="18"/>
              </w:rPr>
            </w:pPr>
            <w:r w:rsidRPr="00F515D2">
              <w:rPr>
                <w:rFonts w:ascii="Garamond" w:hAnsi="Garamond" w:cs="Calibri"/>
                <w:color w:val="000000"/>
                <w:sz w:val="18"/>
                <w:szCs w:val="18"/>
              </w:rPr>
              <w:t>52,6%</w:t>
            </w:r>
          </w:p>
        </w:tc>
        <w:tc>
          <w:tcPr>
            <w:tcW w:w="960" w:type="dxa"/>
            <w:tcBorders>
              <w:left w:val="nil"/>
              <w:right w:val="nil"/>
            </w:tcBorders>
            <w:shd w:val="clear" w:color="auto" w:fill="auto"/>
            <w:noWrap/>
            <w:vAlign w:val="center"/>
            <w:hideMark/>
          </w:tcPr>
          <w:p w:rsidR="00D77B0E" w:rsidRPr="00F515D2" w:rsidRDefault="00D77B0E" w:rsidP="00D73F13">
            <w:pPr>
              <w:jc w:val="center"/>
              <w:rPr>
                <w:rFonts w:ascii="Garamond" w:hAnsi="Garamond" w:cs="Calibri"/>
                <w:color w:val="000000"/>
                <w:sz w:val="18"/>
                <w:szCs w:val="18"/>
              </w:rPr>
            </w:pPr>
            <w:r w:rsidRPr="00F515D2">
              <w:rPr>
                <w:rFonts w:ascii="Garamond" w:hAnsi="Garamond" w:cs="Calibri"/>
                <w:color w:val="000000"/>
                <w:sz w:val="18"/>
                <w:szCs w:val="18"/>
              </w:rPr>
              <w:t>0,36</w:t>
            </w:r>
          </w:p>
        </w:tc>
        <w:tc>
          <w:tcPr>
            <w:tcW w:w="960" w:type="dxa"/>
            <w:tcBorders>
              <w:left w:val="nil"/>
              <w:right w:val="nil"/>
            </w:tcBorders>
            <w:shd w:val="clear" w:color="auto" w:fill="auto"/>
            <w:noWrap/>
            <w:vAlign w:val="center"/>
            <w:hideMark/>
          </w:tcPr>
          <w:p w:rsidR="00D77B0E" w:rsidRPr="00F515D2" w:rsidRDefault="00D77B0E" w:rsidP="00D73F13">
            <w:pPr>
              <w:jc w:val="center"/>
              <w:rPr>
                <w:rFonts w:ascii="Garamond" w:hAnsi="Garamond" w:cs="Calibri"/>
                <w:color w:val="000000"/>
                <w:sz w:val="18"/>
                <w:szCs w:val="18"/>
              </w:rPr>
            </w:pPr>
            <w:r w:rsidRPr="00F515D2">
              <w:rPr>
                <w:rFonts w:ascii="Garamond" w:hAnsi="Garamond" w:cs="Calibri"/>
                <w:color w:val="000000"/>
                <w:sz w:val="18"/>
                <w:szCs w:val="18"/>
              </w:rPr>
              <w:t>0,159</w:t>
            </w:r>
          </w:p>
        </w:tc>
      </w:tr>
      <w:tr w:rsidR="00D77B0E" w:rsidRPr="00752766" w:rsidTr="00D73F13">
        <w:trPr>
          <w:trHeight w:val="240"/>
        </w:trPr>
        <w:tc>
          <w:tcPr>
            <w:tcW w:w="1480" w:type="dxa"/>
            <w:tcBorders>
              <w:left w:val="nil"/>
              <w:right w:val="nil"/>
            </w:tcBorders>
            <w:shd w:val="clear" w:color="auto" w:fill="auto"/>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Lodi</w:t>
            </w:r>
          </w:p>
        </w:tc>
        <w:tc>
          <w:tcPr>
            <w:tcW w:w="1260" w:type="dxa"/>
            <w:tcBorders>
              <w:left w:val="nil"/>
              <w:right w:val="nil"/>
            </w:tcBorders>
            <w:shd w:val="clear" w:color="auto" w:fill="auto"/>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33</w:t>
            </w:r>
          </w:p>
        </w:tc>
        <w:tc>
          <w:tcPr>
            <w:tcW w:w="1420" w:type="dxa"/>
            <w:tcBorders>
              <w:left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60,0%</w:t>
            </w:r>
          </w:p>
        </w:tc>
        <w:tc>
          <w:tcPr>
            <w:tcW w:w="960" w:type="dxa"/>
            <w:tcBorders>
              <w:left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0,45</w:t>
            </w:r>
          </w:p>
        </w:tc>
        <w:tc>
          <w:tcPr>
            <w:tcW w:w="960" w:type="dxa"/>
            <w:tcBorders>
              <w:left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0,177</w:t>
            </w:r>
          </w:p>
        </w:tc>
      </w:tr>
      <w:tr w:rsidR="00D77B0E" w:rsidRPr="00752766" w:rsidTr="00D73F13">
        <w:trPr>
          <w:trHeight w:val="240"/>
        </w:trPr>
        <w:tc>
          <w:tcPr>
            <w:tcW w:w="1480" w:type="dxa"/>
            <w:tcBorders>
              <w:left w:val="nil"/>
              <w:right w:val="nil"/>
            </w:tcBorders>
            <w:shd w:val="clear" w:color="auto" w:fill="auto"/>
            <w:vAlign w:val="center"/>
            <w:hideMark/>
          </w:tcPr>
          <w:p w:rsidR="00D77B0E" w:rsidRPr="001162B9" w:rsidRDefault="00D77B0E" w:rsidP="00D73F13">
            <w:pPr>
              <w:rPr>
                <w:rFonts w:ascii="Garamond" w:hAnsi="Garamond" w:cs="Calibri"/>
                <w:bCs/>
                <w:color w:val="000000"/>
                <w:sz w:val="18"/>
                <w:szCs w:val="18"/>
              </w:rPr>
            </w:pPr>
            <w:r w:rsidRPr="001162B9">
              <w:rPr>
                <w:rFonts w:ascii="Garamond" w:hAnsi="Garamond" w:cs="Calibri"/>
                <w:bCs/>
                <w:color w:val="000000"/>
                <w:sz w:val="18"/>
                <w:szCs w:val="18"/>
              </w:rPr>
              <w:t>Mantova</w:t>
            </w:r>
          </w:p>
        </w:tc>
        <w:tc>
          <w:tcPr>
            <w:tcW w:w="1260" w:type="dxa"/>
            <w:tcBorders>
              <w:left w:val="nil"/>
              <w:right w:val="nil"/>
            </w:tcBorders>
            <w:shd w:val="clear" w:color="auto" w:fill="auto"/>
            <w:vAlign w:val="center"/>
            <w:hideMark/>
          </w:tcPr>
          <w:p w:rsidR="00D77B0E" w:rsidRPr="001162B9" w:rsidRDefault="00D77B0E" w:rsidP="00D73F13">
            <w:pPr>
              <w:jc w:val="center"/>
              <w:rPr>
                <w:rFonts w:ascii="Garamond" w:hAnsi="Garamond" w:cs="Calibri"/>
                <w:bCs/>
                <w:color w:val="000000"/>
                <w:sz w:val="18"/>
                <w:szCs w:val="18"/>
              </w:rPr>
            </w:pPr>
            <w:r w:rsidRPr="001162B9">
              <w:rPr>
                <w:rFonts w:ascii="Garamond" w:hAnsi="Garamond" w:cs="Calibri"/>
                <w:bCs/>
                <w:color w:val="000000"/>
                <w:sz w:val="18"/>
                <w:szCs w:val="18"/>
              </w:rPr>
              <w:t>23</w:t>
            </w:r>
          </w:p>
        </w:tc>
        <w:tc>
          <w:tcPr>
            <w:tcW w:w="1420" w:type="dxa"/>
            <w:tcBorders>
              <w:left w:val="nil"/>
              <w:right w:val="nil"/>
            </w:tcBorders>
            <w:shd w:val="clear" w:color="auto" w:fill="auto"/>
            <w:noWrap/>
            <w:vAlign w:val="center"/>
            <w:hideMark/>
          </w:tcPr>
          <w:p w:rsidR="00D77B0E" w:rsidRPr="001162B9" w:rsidRDefault="00D77B0E" w:rsidP="00D73F13">
            <w:pPr>
              <w:jc w:val="center"/>
              <w:rPr>
                <w:rFonts w:ascii="Garamond" w:hAnsi="Garamond" w:cs="Calibri"/>
                <w:bCs/>
                <w:color w:val="000000"/>
                <w:sz w:val="18"/>
                <w:szCs w:val="18"/>
              </w:rPr>
            </w:pPr>
            <w:r w:rsidRPr="001162B9">
              <w:rPr>
                <w:rFonts w:ascii="Garamond" w:hAnsi="Garamond" w:cs="Calibri"/>
                <w:bCs/>
                <w:color w:val="000000"/>
                <w:sz w:val="18"/>
                <w:szCs w:val="18"/>
              </w:rPr>
              <w:t>36,5%</w:t>
            </w:r>
          </w:p>
        </w:tc>
        <w:tc>
          <w:tcPr>
            <w:tcW w:w="960" w:type="dxa"/>
            <w:tcBorders>
              <w:left w:val="nil"/>
              <w:right w:val="nil"/>
            </w:tcBorders>
            <w:shd w:val="clear" w:color="auto" w:fill="auto"/>
            <w:noWrap/>
            <w:vAlign w:val="center"/>
            <w:hideMark/>
          </w:tcPr>
          <w:p w:rsidR="00D77B0E" w:rsidRPr="001162B9" w:rsidRDefault="00D77B0E" w:rsidP="00D73F13">
            <w:pPr>
              <w:jc w:val="center"/>
              <w:rPr>
                <w:rFonts w:ascii="Garamond" w:hAnsi="Garamond" w:cs="Calibri"/>
                <w:bCs/>
                <w:color w:val="000000"/>
                <w:sz w:val="18"/>
                <w:szCs w:val="18"/>
              </w:rPr>
            </w:pPr>
            <w:r w:rsidRPr="001162B9">
              <w:rPr>
                <w:rFonts w:ascii="Garamond" w:hAnsi="Garamond" w:cs="Calibri"/>
                <w:bCs/>
                <w:color w:val="000000"/>
                <w:sz w:val="18"/>
                <w:szCs w:val="18"/>
              </w:rPr>
              <w:t>0,52</w:t>
            </w:r>
          </w:p>
        </w:tc>
        <w:tc>
          <w:tcPr>
            <w:tcW w:w="960" w:type="dxa"/>
            <w:tcBorders>
              <w:left w:val="nil"/>
              <w:right w:val="nil"/>
            </w:tcBorders>
            <w:shd w:val="clear" w:color="auto" w:fill="auto"/>
            <w:noWrap/>
            <w:vAlign w:val="center"/>
            <w:hideMark/>
          </w:tcPr>
          <w:p w:rsidR="00D77B0E" w:rsidRPr="001162B9" w:rsidRDefault="00D77B0E" w:rsidP="00D73F13">
            <w:pPr>
              <w:jc w:val="center"/>
              <w:rPr>
                <w:rFonts w:ascii="Garamond" w:hAnsi="Garamond" w:cs="Calibri"/>
                <w:bCs/>
                <w:color w:val="000000"/>
                <w:sz w:val="18"/>
                <w:szCs w:val="18"/>
              </w:rPr>
            </w:pPr>
            <w:r w:rsidRPr="001162B9">
              <w:rPr>
                <w:rFonts w:ascii="Garamond" w:hAnsi="Garamond" w:cs="Calibri"/>
                <w:bCs/>
                <w:color w:val="000000"/>
                <w:sz w:val="18"/>
                <w:szCs w:val="18"/>
              </w:rPr>
              <w:t>0,184</w:t>
            </w:r>
          </w:p>
        </w:tc>
      </w:tr>
      <w:tr w:rsidR="00D77B0E" w:rsidRPr="00752766" w:rsidTr="00D73F13">
        <w:trPr>
          <w:trHeight w:val="240"/>
        </w:trPr>
        <w:tc>
          <w:tcPr>
            <w:tcW w:w="1480" w:type="dxa"/>
            <w:tcBorders>
              <w:left w:val="nil"/>
              <w:bottom w:val="nil"/>
              <w:right w:val="nil"/>
            </w:tcBorders>
            <w:shd w:val="clear" w:color="auto" w:fill="auto"/>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Milano</w:t>
            </w:r>
          </w:p>
        </w:tc>
        <w:tc>
          <w:tcPr>
            <w:tcW w:w="1260" w:type="dxa"/>
            <w:tcBorders>
              <w:left w:val="nil"/>
              <w:bottom w:val="nil"/>
              <w:right w:val="nil"/>
            </w:tcBorders>
            <w:shd w:val="clear" w:color="auto" w:fill="auto"/>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55</w:t>
            </w:r>
          </w:p>
        </w:tc>
        <w:tc>
          <w:tcPr>
            <w:tcW w:w="1420" w:type="dxa"/>
            <w:tcBorders>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43,3%</w:t>
            </w:r>
          </w:p>
        </w:tc>
        <w:tc>
          <w:tcPr>
            <w:tcW w:w="960" w:type="dxa"/>
            <w:tcBorders>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0,55</w:t>
            </w:r>
          </w:p>
        </w:tc>
        <w:tc>
          <w:tcPr>
            <w:tcW w:w="960" w:type="dxa"/>
            <w:tcBorders>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0,199</w:t>
            </w:r>
          </w:p>
        </w:tc>
      </w:tr>
      <w:tr w:rsidR="00D77B0E" w:rsidRPr="00752766" w:rsidTr="00D73F13">
        <w:trPr>
          <w:trHeight w:val="240"/>
        </w:trPr>
        <w:tc>
          <w:tcPr>
            <w:tcW w:w="1480" w:type="dxa"/>
            <w:tcBorders>
              <w:top w:val="nil"/>
              <w:left w:val="nil"/>
              <w:bottom w:val="nil"/>
              <w:right w:val="nil"/>
            </w:tcBorders>
            <w:shd w:val="clear" w:color="auto" w:fill="auto"/>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Monza Brianza</w:t>
            </w:r>
          </w:p>
        </w:tc>
        <w:tc>
          <w:tcPr>
            <w:tcW w:w="1260" w:type="dxa"/>
            <w:tcBorders>
              <w:top w:val="nil"/>
              <w:left w:val="nil"/>
              <w:bottom w:val="nil"/>
              <w:right w:val="nil"/>
            </w:tcBorders>
            <w:shd w:val="clear" w:color="auto" w:fill="auto"/>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17</w:t>
            </w:r>
          </w:p>
        </w:tc>
        <w:tc>
          <w:tcPr>
            <w:tcW w:w="142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30,9%</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0,46</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0,198</w:t>
            </w:r>
          </w:p>
        </w:tc>
      </w:tr>
      <w:tr w:rsidR="00D77B0E" w:rsidRPr="00752766" w:rsidTr="00D73F13">
        <w:trPr>
          <w:trHeight w:val="240"/>
        </w:trPr>
        <w:tc>
          <w:tcPr>
            <w:tcW w:w="1480" w:type="dxa"/>
            <w:tcBorders>
              <w:top w:val="nil"/>
              <w:left w:val="nil"/>
              <w:bottom w:val="nil"/>
              <w:right w:val="nil"/>
            </w:tcBorders>
            <w:shd w:val="clear" w:color="auto" w:fill="auto"/>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Pavia</w:t>
            </w:r>
          </w:p>
        </w:tc>
        <w:tc>
          <w:tcPr>
            <w:tcW w:w="1260" w:type="dxa"/>
            <w:tcBorders>
              <w:top w:val="nil"/>
              <w:left w:val="nil"/>
              <w:bottom w:val="nil"/>
              <w:right w:val="nil"/>
            </w:tcBorders>
            <w:shd w:val="clear" w:color="auto" w:fill="auto"/>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96</w:t>
            </w:r>
          </w:p>
        </w:tc>
        <w:tc>
          <w:tcPr>
            <w:tcW w:w="142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59,6%</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0,47</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0,172</w:t>
            </w:r>
          </w:p>
        </w:tc>
      </w:tr>
      <w:tr w:rsidR="00D77B0E" w:rsidRPr="00752766" w:rsidTr="00D73F13">
        <w:trPr>
          <w:trHeight w:val="240"/>
        </w:trPr>
        <w:tc>
          <w:tcPr>
            <w:tcW w:w="1480" w:type="dxa"/>
            <w:tcBorders>
              <w:top w:val="nil"/>
              <w:left w:val="nil"/>
              <w:bottom w:val="nil"/>
              <w:right w:val="nil"/>
            </w:tcBorders>
            <w:shd w:val="clear" w:color="auto" w:fill="auto"/>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Sondrio</w:t>
            </w:r>
          </w:p>
        </w:tc>
        <w:tc>
          <w:tcPr>
            <w:tcW w:w="1260" w:type="dxa"/>
            <w:tcBorders>
              <w:top w:val="nil"/>
              <w:left w:val="nil"/>
              <w:bottom w:val="nil"/>
              <w:right w:val="nil"/>
            </w:tcBorders>
            <w:shd w:val="clear" w:color="auto" w:fill="auto"/>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32</w:t>
            </w:r>
          </w:p>
        </w:tc>
        <w:tc>
          <w:tcPr>
            <w:tcW w:w="142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78,0%</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0,39</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0,191</w:t>
            </w:r>
          </w:p>
        </w:tc>
      </w:tr>
      <w:tr w:rsidR="00D77B0E" w:rsidRPr="00752766" w:rsidTr="00D73F13">
        <w:trPr>
          <w:trHeight w:val="240"/>
        </w:trPr>
        <w:tc>
          <w:tcPr>
            <w:tcW w:w="1480" w:type="dxa"/>
            <w:tcBorders>
              <w:top w:val="nil"/>
              <w:left w:val="nil"/>
              <w:bottom w:val="nil"/>
              <w:right w:val="nil"/>
            </w:tcBorders>
            <w:shd w:val="clear" w:color="auto" w:fill="auto"/>
            <w:vAlign w:val="center"/>
            <w:hideMark/>
          </w:tcPr>
          <w:p w:rsidR="00D77B0E" w:rsidRPr="00752766" w:rsidRDefault="00D77B0E" w:rsidP="00D73F13">
            <w:pPr>
              <w:rPr>
                <w:rFonts w:ascii="Garamond" w:hAnsi="Garamond" w:cs="Calibri"/>
                <w:color w:val="000000"/>
                <w:sz w:val="18"/>
                <w:szCs w:val="18"/>
              </w:rPr>
            </w:pPr>
            <w:r w:rsidRPr="00752766">
              <w:rPr>
                <w:rFonts w:ascii="Garamond" w:hAnsi="Garamond" w:cs="Calibri"/>
                <w:color w:val="000000"/>
                <w:sz w:val="18"/>
                <w:szCs w:val="18"/>
              </w:rPr>
              <w:t>Varese</w:t>
            </w:r>
          </w:p>
        </w:tc>
        <w:tc>
          <w:tcPr>
            <w:tcW w:w="1260" w:type="dxa"/>
            <w:tcBorders>
              <w:top w:val="nil"/>
              <w:left w:val="nil"/>
              <w:bottom w:val="nil"/>
              <w:right w:val="nil"/>
            </w:tcBorders>
            <w:shd w:val="clear" w:color="auto" w:fill="auto"/>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53</w:t>
            </w:r>
          </w:p>
        </w:tc>
        <w:tc>
          <w:tcPr>
            <w:tcW w:w="142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40,8%</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0,51</w:t>
            </w:r>
          </w:p>
        </w:tc>
        <w:tc>
          <w:tcPr>
            <w:tcW w:w="960" w:type="dxa"/>
            <w:tcBorders>
              <w:top w:val="nil"/>
              <w:left w:val="nil"/>
              <w:bottom w:val="nil"/>
              <w:right w:val="nil"/>
            </w:tcBorders>
            <w:shd w:val="clear" w:color="auto" w:fill="auto"/>
            <w:noWrap/>
            <w:vAlign w:val="center"/>
            <w:hideMark/>
          </w:tcPr>
          <w:p w:rsidR="00D77B0E" w:rsidRPr="00752766" w:rsidRDefault="00D77B0E" w:rsidP="00D73F13">
            <w:pPr>
              <w:jc w:val="center"/>
              <w:rPr>
                <w:rFonts w:ascii="Garamond" w:hAnsi="Garamond" w:cs="Calibri"/>
                <w:color w:val="000000"/>
                <w:sz w:val="18"/>
                <w:szCs w:val="18"/>
              </w:rPr>
            </w:pPr>
            <w:r w:rsidRPr="00752766">
              <w:rPr>
                <w:rFonts w:ascii="Garamond" w:hAnsi="Garamond" w:cs="Calibri"/>
                <w:color w:val="000000"/>
                <w:sz w:val="18"/>
                <w:szCs w:val="18"/>
              </w:rPr>
              <w:t>0,158</w:t>
            </w:r>
          </w:p>
        </w:tc>
      </w:tr>
      <w:tr w:rsidR="00D77B0E" w:rsidRPr="00752766" w:rsidTr="00D73F13">
        <w:trPr>
          <w:trHeight w:val="240"/>
        </w:trPr>
        <w:tc>
          <w:tcPr>
            <w:tcW w:w="1480" w:type="dxa"/>
            <w:tcBorders>
              <w:top w:val="single" w:sz="4" w:space="0" w:color="auto"/>
              <w:left w:val="nil"/>
              <w:bottom w:val="single" w:sz="4" w:space="0" w:color="auto"/>
              <w:right w:val="nil"/>
            </w:tcBorders>
            <w:shd w:val="clear" w:color="auto" w:fill="auto"/>
            <w:vAlign w:val="center"/>
            <w:hideMark/>
          </w:tcPr>
          <w:p w:rsidR="00D77B0E" w:rsidRPr="00752766" w:rsidRDefault="00D77B0E" w:rsidP="00D73F13">
            <w:pPr>
              <w:rPr>
                <w:rFonts w:ascii="Garamond" w:hAnsi="Garamond" w:cs="Calibri"/>
                <w:b/>
                <w:bCs/>
                <w:color w:val="000000"/>
                <w:sz w:val="18"/>
                <w:szCs w:val="18"/>
              </w:rPr>
            </w:pPr>
            <w:r w:rsidRPr="00752766">
              <w:rPr>
                <w:rFonts w:ascii="Garamond" w:hAnsi="Garamond" w:cs="Calibri"/>
                <w:b/>
                <w:bCs/>
                <w:color w:val="000000"/>
                <w:sz w:val="18"/>
                <w:szCs w:val="18"/>
              </w:rPr>
              <w:t>Lombardia</w:t>
            </w:r>
          </w:p>
        </w:tc>
        <w:tc>
          <w:tcPr>
            <w:tcW w:w="1260" w:type="dxa"/>
            <w:tcBorders>
              <w:top w:val="single" w:sz="4" w:space="0" w:color="auto"/>
              <w:left w:val="nil"/>
              <w:bottom w:val="single" w:sz="4" w:space="0" w:color="auto"/>
              <w:right w:val="nil"/>
            </w:tcBorders>
            <w:shd w:val="clear" w:color="auto" w:fill="auto"/>
            <w:vAlign w:val="center"/>
            <w:hideMark/>
          </w:tcPr>
          <w:p w:rsidR="00D77B0E" w:rsidRPr="00752766" w:rsidRDefault="00D77B0E" w:rsidP="00D73F13">
            <w:pPr>
              <w:jc w:val="center"/>
              <w:rPr>
                <w:rFonts w:ascii="Garamond" w:hAnsi="Garamond" w:cs="Calibri"/>
                <w:b/>
                <w:bCs/>
                <w:color w:val="000000"/>
                <w:sz w:val="18"/>
                <w:szCs w:val="18"/>
              </w:rPr>
            </w:pPr>
            <w:r w:rsidRPr="00752766">
              <w:rPr>
                <w:rFonts w:ascii="Garamond" w:hAnsi="Garamond" w:cs="Calibri"/>
                <w:b/>
                <w:bCs/>
                <w:color w:val="000000"/>
                <w:sz w:val="18"/>
                <w:szCs w:val="18"/>
              </w:rPr>
              <w:t>729</w:t>
            </w:r>
          </w:p>
        </w:tc>
        <w:tc>
          <w:tcPr>
            <w:tcW w:w="1420" w:type="dxa"/>
            <w:tcBorders>
              <w:top w:val="single" w:sz="4" w:space="0" w:color="auto"/>
              <w:left w:val="nil"/>
              <w:bottom w:val="single" w:sz="4" w:space="0" w:color="auto"/>
              <w:right w:val="nil"/>
            </w:tcBorders>
            <w:shd w:val="clear" w:color="auto" w:fill="auto"/>
            <w:noWrap/>
            <w:vAlign w:val="center"/>
            <w:hideMark/>
          </w:tcPr>
          <w:p w:rsidR="00D77B0E" w:rsidRPr="00752766" w:rsidRDefault="00D77B0E" w:rsidP="00D73F13">
            <w:pPr>
              <w:jc w:val="center"/>
              <w:rPr>
                <w:rFonts w:ascii="Garamond" w:hAnsi="Garamond" w:cs="Calibri"/>
                <w:b/>
                <w:bCs/>
                <w:color w:val="000000"/>
                <w:sz w:val="18"/>
                <w:szCs w:val="18"/>
              </w:rPr>
            </w:pPr>
            <w:r w:rsidRPr="00752766">
              <w:rPr>
                <w:rFonts w:ascii="Garamond" w:hAnsi="Garamond" w:cs="Calibri"/>
                <w:b/>
                <w:bCs/>
                <w:color w:val="000000"/>
                <w:sz w:val="18"/>
                <w:szCs w:val="18"/>
              </w:rPr>
              <w:t>56,5%</w:t>
            </w:r>
          </w:p>
        </w:tc>
        <w:tc>
          <w:tcPr>
            <w:tcW w:w="960" w:type="dxa"/>
            <w:tcBorders>
              <w:top w:val="single" w:sz="4" w:space="0" w:color="auto"/>
              <w:left w:val="nil"/>
              <w:bottom w:val="single" w:sz="4" w:space="0" w:color="auto"/>
              <w:right w:val="nil"/>
            </w:tcBorders>
            <w:shd w:val="clear" w:color="auto" w:fill="auto"/>
            <w:noWrap/>
            <w:vAlign w:val="center"/>
            <w:hideMark/>
          </w:tcPr>
          <w:p w:rsidR="00D77B0E" w:rsidRPr="00752766" w:rsidRDefault="00D77B0E" w:rsidP="00D73F13">
            <w:pPr>
              <w:jc w:val="center"/>
              <w:rPr>
                <w:rFonts w:ascii="Garamond" w:hAnsi="Garamond" w:cs="Calibri"/>
                <w:b/>
                <w:bCs/>
                <w:color w:val="000000"/>
                <w:sz w:val="18"/>
                <w:szCs w:val="18"/>
              </w:rPr>
            </w:pPr>
            <w:r w:rsidRPr="00752766">
              <w:rPr>
                <w:rFonts w:ascii="Garamond" w:hAnsi="Garamond" w:cs="Calibri"/>
                <w:b/>
                <w:bCs/>
                <w:color w:val="000000"/>
                <w:sz w:val="18"/>
                <w:szCs w:val="18"/>
              </w:rPr>
              <w:t>0,45</w:t>
            </w:r>
          </w:p>
        </w:tc>
        <w:tc>
          <w:tcPr>
            <w:tcW w:w="960" w:type="dxa"/>
            <w:tcBorders>
              <w:top w:val="single" w:sz="4" w:space="0" w:color="auto"/>
              <w:left w:val="nil"/>
              <w:bottom w:val="single" w:sz="4" w:space="0" w:color="auto"/>
              <w:right w:val="nil"/>
            </w:tcBorders>
            <w:shd w:val="clear" w:color="auto" w:fill="auto"/>
            <w:noWrap/>
            <w:vAlign w:val="center"/>
            <w:hideMark/>
          </w:tcPr>
          <w:p w:rsidR="00D77B0E" w:rsidRPr="00752766" w:rsidRDefault="00D77B0E" w:rsidP="00D73F13">
            <w:pPr>
              <w:jc w:val="center"/>
              <w:rPr>
                <w:rFonts w:ascii="Garamond" w:hAnsi="Garamond" w:cs="Calibri"/>
                <w:b/>
                <w:bCs/>
                <w:color w:val="000000"/>
                <w:sz w:val="18"/>
                <w:szCs w:val="18"/>
              </w:rPr>
            </w:pPr>
            <w:r w:rsidRPr="00752766">
              <w:rPr>
                <w:rFonts w:ascii="Garamond" w:hAnsi="Garamond" w:cs="Calibri"/>
                <w:b/>
                <w:bCs/>
                <w:color w:val="000000"/>
                <w:sz w:val="18"/>
                <w:szCs w:val="18"/>
              </w:rPr>
              <w:t>0,180</w:t>
            </w:r>
          </w:p>
        </w:tc>
      </w:tr>
    </w:tbl>
    <w:p w:rsidR="00D77B0E" w:rsidRPr="00C55856" w:rsidRDefault="00D77B0E" w:rsidP="00D77B0E">
      <w:pPr>
        <w:rPr>
          <w:rFonts w:ascii="Garamond" w:hAnsi="Garamond"/>
          <w:b/>
          <w:i/>
          <w:sz w:val="18"/>
          <w:szCs w:val="18"/>
        </w:rPr>
      </w:pPr>
      <w:r w:rsidRPr="00C55856">
        <w:rPr>
          <w:rFonts w:ascii="Garamond" w:hAnsi="Garamond"/>
          <w:b/>
          <w:i/>
          <w:sz w:val="18"/>
          <w:szCs w:val="18"/>
        </w:rPr>
        <w:t>Fonte: elaborazioni su dai Ministero dell’Economia delle Finanze</w:t>
      </w:r>
    </w:p>
    <w:p w:rsidR="00D77B0E" w:rsidRDefault="00D77B0E" w:rsidP="00D77B0E">
      <w:pPr>
        <w:rPr>
          <w:rFonts w:ascii="Garamond" w:hAnsi="Garamond"/>
          <w:b/>
          <w:i/>
          <w:sz w:val="18"/>
          <w:szCs w:val="18"/>
        </w:rPr>
      </w:pPr>
      <w:r>
        <w:rPr>
          <w:rFonts w:ascii="Garamond" w:hAnsi="Garamond"/>
          <w:b/>
          <w:i/>
          <w:sz w:val="18"/>
          <w:szCs w:val="18"/>
        </w:rPr>
        <w:t xml:space="preserve">(*) l’incidenza è calcolata sul totale dei comuni per il quale il Ministero dell’Economia e delle Finanze mette a disposizione i dati, complessivamente 1291 comuni. Aggiornamento aprile 2013. </w:t>
      </w:r>
    </w:p>
    <w:p w:rsidR="00D77B0E" w:rsidRPr="00FD58EE" w:rsidRDefault="00D77B0E" w:rsidP="00D77B0E">
      <w:pPr>
        <w:rPr>
          <w:rFonts w:ascii="Garamond" w:hAnsi="Garamond"/>
          <w:b/>
          <w:i/>
          <w:sz w:val="18"/>
          <w:szCs w:val="18"/>
        </w:rPr>
      </w:pPr>
      <w:r>
        <w:rPr>
          <w:rFonts w:ascii="Garamond" w:hAnsi="Garamond"/>
          <w:b/>
          <w:i/>
          <w:sz w:val="18"/>
          <w:szCs w:val="18"/>
        </w:rPr>
        <w:t xml:space="preserve"> </w:t>
      </w:r>
    </w:p>
    <w:p w:rsidR="00D77B0E" w:rsidRDefault="00D77B0E" w:rsidP="00D77B0E">
      <w:pPr>
        <w:spacing w:line="360" w:lineRule="auto"/>
        <w:jc w:val="both"/>
      </w:pPr>
    </w:p>
    <w:p w:rsidR="00D77B0E" w:rsidRDefault="00D77B0E" w:rsidP="00D77B0E">
      <w:pPr>
        <w:pStyle w:val="Titolo1"/>
        <w:spacing w:before="0" w:after="240"/>
      </w:pPr>
      <w:bookmarkStart w:id="26" w:name="_Toc356470422"/>
    </w:p>
    <w:p w:rsidR="00D77B0E" w:rsidRDefault="00D77B0E" w:rsidP="00D77B0E"/>
    <w:p w:rsidR="00D77B0E" w:rsidRDefault="00D77B0E" w:rsidP="00D77B0E"/>
    <w:p w:rsidR="00D77B0E" w:rsidRDefault="00D77B0E" w:rsidP="00D77B0E"/>
    <w:p w:rsidR="00D77B0E" w:rsidRDefault="00D77B0E" w:rsidP="00D77B0E"/>
    <w:p w:rsidR="00D77B0E" w:rsidRDefault="00D77B0E" w:rsidP="00D77B0E"/>
    <w:p w:rsidR="00D77B0E" w:rsidRPr="004600AA" w:rsidRDefault="00D77B0E" w:rsidP="00D77B0E"/>
    <w:p w:rsidR="00D77B0E" w:rsidRDefault="00D77B0E" w:rsidP="00D77B0E">
      <w:pPr>
        <w:pStyle w:val="Titolo1"/>
        <w:spacing w:before="0" w:after="240"/>
      </w:pPr>
    </w:p>
    <w:p w:rsidR="00D77B0E" w:rsidRPr="006D73EB" w:rsidRDefault="00D77B0E" w:rsidP="00D77B0E">
      <w:pPr>
        <w:pStyle w:val="Titolo1"/>
        <w:spacing w:before="0" w:after="240"/>
      </w:pPr>
      <w:r w:rsidRPr="006D73EB">
        <w:t>Conclusioni</w:t>
      </w:r>
      <w:bookmarkEnd w:id="26"/>
    </w:p>
    <w:p w:rsidR="00D77B0E" w:rsidRDefault="00D77B0E" w:rsidP="00D77B0E">
      <w:pPr>
        <w:spacing w:line="360" w:lineRule="auto"/>
        <w:jc w:val="both"/>
        <w:rPr>
          <w:color w:val="000000"/>
        </w:rPr>
      </w:pPr>
      <w:r>
        <w:rPr>
          <w:color w:val="000000"/>
        </w:rPr>
        <w:t>Le elaborazioni effettuate lasciano pensare che la provincia di Bergamo si distingua per una propensione all’evasione abbastanza alta almeno in termini di intensità, vale a dire rispetto alla ricchezza prodotta a livello locale.</w:t>
      </w:r>
    </w:p>
    <w:p w:rsidR="00D73F13" w:rsidRDefault="00D77B0E" w:rsidP="00D77B0E">
      <w:pPr>
        <w:spacing w:line="360" w:lineRule="auto"/>
        <w:jc w:val="both"/>
      </w:pPr>
      <w:r>
        <w:t>È un fenomeno da approfondire: sia perché naturalmente la nostra indagine si concentra sugli indicatori più superficiali, cioè di tipo quantitativo</w:t>
      </w:r>
      <w:r w:rsidR="00EE567F">
        <w:t xml:space="preserve"> (mettendo a confronto i redditi dichiarati e la ricchezza letta attraverso alcuni indicatori oggettivi)</w:t>
      </w:r>
      <w:r>
        <w:t>, sia perché dalle analisi emergono fasce di rischio significativo, che si concentrano in circa una ventina di comuni</w:t>
      </w:r>
      <w:r w:rsidR="00D73F13">
        <w:t xml:space="preserve">. </w:t>
      </w:r>
    </w:p>
    <w:p w:rsidR="00EE567F" w:rsidRPr="00EE567F" w:rsidRDefault="00D73F13" w:rsidP="00EE567F">
      <w:pPr>
        <w:spacing w:line="360" w:lineRule="auto"/>
        <w:jc w:val="both"/>
      </w:pPr>
      <w:r w:rsidRPr="00EE567F">
        <w:t xml:space="preserve">Relativamente al rischio </w:t>
      </w:r>
      <w:r w:rsidR="00EE567F">
        <w:t xml:space="preserve">dell’evasione </w:t>
      </w:r>
      <w:r w:rsidRPr="00EE567F">
        <w:t>si ha una interessante diversificazione di tale indice a seconda delle aree territoriali prese in considerazione. E’ la conferma della complessità del territorio (morfologicamente e dal punto di vista socio-economico),  caratterizzato: a) dalla presenza di aree ancora fortemente industrializzate nelle quali spiccano le produzioni di alcune importanti imprese</w:t>
      </w:r>
      <w:r w:rsidR="00EE567F" w:rsidRPr="00EE567F">
        <w:t xml:space="preserve"> </w:t>
      </w:r>
      <w:r w:rsidRPr="00EE567F">
        <w:t xml:space="preserve">medio grandi  molto complesse e orientate alla internazionalizzazione) che si sviluppano lungo gli assi viari principali; </w:t>
      </w:r>
      <w:r w:rsidR="00EE567F" w:rsidRPr="00EE567F">
        <w:t xml:space="preserve">b) </w:t>
      </w:r>
      <w:r w:rsidRPr="00EE567F">
        <w:t>dall</w:t>
      </w:r>
      <w:r w:rsidR="00EE567F" w:rsidRPr="00EE567F">
        <w:t xml:space="preserve">’azione di un </w:t>
      </w:r>
      <w:r w:rsidRPr="00EE567F">
        <w:t xml:space="preserve">elevato numero di </w:t>
      </w:r>
      <w:r w:rsidR="00EE567F" w:rsidRPr="00EE567F">
        <w:t xml:space="preserve">piccole e piccolissime </w:t>
      </w:r>
      <w:r w:rsidRPr="00EE567F">
        <w:t>imprese</w:t>
      </w:r>
      <w:r w:rsidR="00EE567F" w:rsidRPr="00EE567F">
        <w:t xml:space="preserve">; </w:t>
      </w:r>
      <w:r w:rsidR="00EE567F">
        <w:t>c</w:t>
      </w:r>
      <w:r w:rsidRPr="00EE567F">
        <w:t>)</w:t>
      </w:r>
      <w:r w:rsidR="00EE567F" w:rsidRPr="00EE567F">
        <w:t xml:space="preserve"> </w:t>
      </w:r>
      <w:r w:rsidRPr="00EE567F">
        <w:t xml:space="preserve">dalla </w:t>
      </w:r>
      <w:r w:rsidR="00EE567F" w:rsidRPr="00EE567F">
        <w:t>forte incidenza a livello istituzionale dei piccoli comuni, molti dei quali sono localizzat</w:t>
      </w:r>
      <w:r w:rsidR="00EE567F">
        <w:t>i</w:t>
      </w:r>
      <w:r w:rsidR="00EE567F" w:rsidRPr="00EE567F">
        <w:t xml:space="preserve"> nelle </w:t>
      </w:r>
      <w:r w:rsidR="00EE567F">
        <w:t>zone montane</w:t>
      </w:r>
      <w:r w:rsidR="00EE567F" w:rsidRPr="00EE567F">
        <w:t xml:space="preserve"> </w:t>
      </w:r>
      <w:r w:rsidR="00EE567F">
        <w:t xml:space="preserve">dell’area settentrionale </w:t>
      </w:r>
      <w:r w:rsidR="00EE567F" w:rsidRPr="00EE567F">
        <w:t>della provincia (che costituisc</w:t>
      </w:r>
      <w:r w:rsidR="00EE567F">
        <w:t>e</w:t>
      </w:r>
      <w:r w:rsidR="00EE567F" w:rsidRPr="00EE567F">
        <w:t xml:space="preserve"> circa il 64% della superficie totale) e </w:t>
      </w:r>
      <w:r w:rsidR="00EE567F">
        <w:t xml:space="preserve">in particolare </w:t>
      </w:r>
      <w:r w:rsidR="00EE567F" w:rsidRPr="00EE567F">
        <w:t>nelle principali valli bergamasche (la Val Brembana, la Val Seriana e la Val Cavallina.</w:t>
      </w:r>
    </w:p>
    <w:p w:rsidR="0052432C" w:rsidRDefault="00D77B0E" w:rsidP="0052432C">
      <w:pPr>
        <w:spacing w:line="360" w:lineRule="auto"/>
        <w:jc w:val="both"/>
      </w:pPr>
      <w:r>
        <w:t xml:space="preserve">Dall’analisi territoriale emerge come la provincia di Bergamo presenti caratteristiche </w:t>
      </w:r>
      <w:r w:rsidR="00CE029B">
        <w:t xml:space="preserve">socio-demografiche </w:t>
      </w:r>
      <w:r>
        <w:t>atipiche rispetto alla gran parte delle province lombarde</w:t>
      </w:r>
      <w:r w:rsidR="0052432C">
        <w:t>, con particolare riferimento ai tassi più elevati di immigrazione e di popolazione giovanile. La crisi si esprime ancora in modo significativo per quanto riguarda il sistema imprese, il mondo del lavoro, il disagio economico e sociale e la crescita della disoccupazione giovanile. I processi di coesione sociale, fondati in primo luogo su un basso tasso di disoccupazione, sembrano ormai fortemente indeboliti. E’ forte</w:t>
      </w:r>
      <w:r w:rsidR="0052432C" w:rsidRPr="000F56E0">
        <w:t xml:space="preserve"> il fabbisogno di politiche di regolazione </w:t>
      </w:r>
      <w:r w:rsidR="0052432C">
        <w:t xml:space="preserve">e di sviluppo </w:t>
      </w:r>
      <w:r w:rsidR="0052432C" w:rsidRPr="000F56E0">
        <w:t xml:space="preserve">nel territorio. </w:t>
      </w:r>
    </w:p>
    <w:p w:rsidR="00563ABE" w:rsidRDefault="0052432C" w:rsidP="00563ABE">
      <w:pPr>
        <w:spacing w:line="360" w:lineRule="auto"/>
        <w:jc w:val="both"/>
      </w:pPr>
      <w:r>
        <w:t xml:space="preserve">In questo contesto, l’azione di recupero dell’evasione fiscale </w:t>
      </w:r>
      <w:r w:rsidR="004179DE">
        <w:t>e la lotta al “</w:t>
      </w:r>
      <w:r>
        <w:t>sommerso</w:t>
      </w:r>
      <w:r w:rsidR="004179DE">
        <w:t>”</w:t>
      </w:r>
      <w:r>
        <w:t xml:space="preserve"> p</w:t>
      </w:r>
      <w:r w:rsidR="004179DE">
        <w:t xml:space="preserve">ossono </w:t>
      </w:r>
      <w:r>
        <w:t xml:space="preserve">svolgere un ruolo importante </w:t>
      </w:r>
      <w:r w:rsidR="00563ABE">
        <w:t xml:space="preserve">nel tentativo di </w:t>
      </w:r>
      <w:r w:rsidR="004179DE">
        <w:t xml:space="preserve">rifondare le reti dei partenariati pubblico-privati attorno a nuovi obiettivi etici e civili </w:t>
      </w:r>
      <w:r w:rsidR="00563ABE">
        <w:t xml:space="preserve">(una cultura della crescita che faccia perno sulla legalità e sulla responsabilità individuale e sociale) </w:t>
      </w:r>
      <w:r w:rsidR="004179DE">
        <w:t xml:space="preserve">e per  promuovere lo sviluppo </w:t>
      </w:r>
      <w:r w:rsidR="00563ABE">
        <w:t>socio-</w:t>
      </w:r>
      <w:r w:rsidR="004179DE">
        <w:t xml:space="preserve">economico. </w:t>
      </w:r>
    </w:p>
    <w:p w:rsidR="004179DE" w:rsidRDefault="00D477E8" w:rsidP="00D77B0E">
      <w:pPr>
        <w:spacing w:line="360" w:lineRule="auto"/>
        <w:jc w:val="both"/>
      </w:pPr>
      <w:r>
        <w:t>La normativa vigente sollecita le comunità locali</w:t>
      </w:r>
      <w:r w:rsidR="00563ABE">
        <w:t xml:space="preserve"> -</w:t>
      </w:r>
      <w:r>
        <w:t>in primo luogo i comuni e le altre amministrazioni pubbliche</w:t>
      </w:r>
      <w:r w:rsidR="00563ABE">
        <w:t xml:space="preserve"> -</w:t>
      </w:r>
      <w:r>
        <w:t xml:space="preserve"> ad organizzare in rete la lotta alla evasione, consentendo la destinazione di una quota importante dei proventi a scopi sociali. </w:t>
      </w:r>
      <w:r w:rsidR="004179DE">
        <w:t xml:space="preserve">  </w:t>
      </w:r>
    </w:p>
    <w:p w:rsidR="004179DE" w:rsidRDefault="004179DE" w:rsidP="00D77B0E">
      <w:pPr>
        <w:spacing w:line="360" w:lineRule="auto"/>
        <w:jc w:val="both"/>
      </w:pPr>
      <w:r>
        <w:t xml:space="preserve">Si tratta </w:t>
      </w:r>
      <w:r w:rsidR="00563ABE">
        <w:t xml:space="preserve">dunque </w:t>
      </w:r>
      <w:r>
        <w:t>di superare le pastoie dell’inefficienza e dei ritardi di enti e amministrazioni che spesso si rimbalzano l’un l’altro responsabilità e oneri</w:t>
      </w:r>
      <w:r w:rsidR="00563ABE">
        <w:t>, per dare avvio a interventi efficaci</w:t>
      </w:r>
      <w:r>
        <w:t xml:space="preserve"> certamente impegnativ</w:t>
      </w:r>
      <w:r w:rsidR="00563ABE">
        <w:t xml:space="preserve">i, la cui attivazione, però, è </w:t>
      </w:r>
      <w:r>
        <w:t xml:space="preserve">ormai diventata improrogabile.  </w:t>
      </w:r>
    </w:p>
    <w:p w:rsidR="00D477E8" w:rsidRDefault="00563ABE" w:rsidP="00D77B0E">
      <w:pPr>
        <w:spacing w:line="360" w:lineRule="auto"/>
        <w:jc w:val="both"/>
      </w:pPr>
      <w:r>
        <w:t xml:space="preserve">  </w:t>
      </w:r>
    </w:p>
    <w:p w:rsidR="00D77B0E" w:rsidRDefault="00D77B0E" w:rsidP="00D77B0E">
      <w:bookmarkStart w:id="27" w:name="_Toc355947190"/>
      <w:bookmarkStart w:id="28" w:name="_Toc356470423"/>
    </w:p>
    <w:p w:rsidR="00D77B0E" w:rsidRDefault="00D77B0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563ABE" w:rsidRDefault="00563ABE" w:rsidP="00D77B0E"/>
    <w:p w:rsidR="00D77B0E" w:rsidRPr="00482E47" w:rsidRDefault="00D77B0E" w:rsidP="00D77B0E">
      <w:pPr>
        <w:pStyle w:val="Titolo1"/>
        <w:spacing w:before="0" w:after="240"/>
      </w:pPr>
      <w:r w:rsidRPr="00482E47">
        <w:t>BIBLIOGRAFIA</w:t>
      </w:r>
      <w:bookmarkEnd w:id="27"/>
      <w:bookmarkEnd w:id="28"/>
    </w:p>
    <w:p w:rsidR="00D77B0E" w:rsidRDefault="00D77B0E" w:rsidP="00D77B0E">
      <w:pPr>
        <w:spacing w:after="240" w:line="360" w:lineRule="exact"/>
        <w:jc w:val="both"/>
      </w:pPr>
      <w:r>
        <w:t>Annuario Statistico Regionale, Lombardia (2013).</w:t>
      </w:r>
    </w:p>
    <w:p w:rsidR="00D77B0E" w:rsidRDefault="00D77B0E" w:rsidP="00D77B0E">
      <w:pPr>
        <w:spacing w:after="240" w:line="360" w:lineRule="exact"/>
        <w:jc w:val="both"/>
      </w:pPr>
      <w:r w:rsidRPr="004873F0">
        <w:t xml:space="preserve">Bernardi, L. e Bernasconi, M. (1997) L’evasione fiscale in Italia: evidenze empiriche, </w:t>
      </w:r>
      <w:r>
        <w:rPr>
          <w:i/>
        </w:rPr>
        <w:t xml:space="preserve">Il fisco, </w:t>
      </w:r>
      <w:r>
        <w:t>n.38, pp.19-36.</w:t>
      </w:r>
    </w:p>
    <w:p w:rsidR="00D77B0E" w:rsidRDefault="00D77B0E" w:rsidP="00D77B0E">
      <w:pPr>
        <w:spacing w:after="240" w:line="360" w:lineRule="exact"/>
        <w:jc w:val="both"/>
        <w:rPr>
          <w:lang w:val="en-GB"/>
        </w:rPr>
      </w:pPr>
      <w:r w:rsidRPr="00FC6757">
        <w:rPr>
          <w:lang w:val="en-GB"/>
        </w:rPr>
        <w:t xml:space="preserve">Bishop, J.A., Formby, J.P. and Lambert, P. </w:t>
      </w:r>
      <w:r>
        <w:rPr>
          <w:lang w:val="en-GB"/>
        </w:rPr>
        <w:t xml:space="preserve">(2000) Redistribution through the income tax: the vertical and horizontal effects of non-compliance and tax evasion, </w:t>
      </w:r>
      <w:r>
        <w:rPr>
          <w:i/>
          <w:lang w:val="en-GB"/>
        </w:rPr>
        <w:t xml:space="preserve">Public Finance Review, </w:t>
      </w:r>
      <w:r>
        <w:rPr>
          <w:lang w:val="en-GB"/>
        </w:rPr>
        <w:t>num. 28, pp. 335-350.</w:t>
      </w:r>
    </w:p>
    <w:p w:rsidR="00D77B0E" w:rsidRDefault="00D77B0E" w:rsidP="00D77B0E">
      <w:pPr>
        <w:spacing w:after="240" w:line="360" w:lineRule="exact"/>
        <w:jc w:val="both"/>
      </w:pPr>
      <w:r>
        <w:t>Camera di Commercio di Bergamo (2012, 2013), Analisi congiunturale, numeri vari.</w:t>
      </w:r>
    </w:p>
    <w:p w:rsidR="00D77B0E" w:rsidRPr="00BE4A37" w:rsidRDefault="00D77B0E" w:rsidP="00D77B0E">
      <w:pPr>
        <w:spacing w:after="240" w:line="360" w:lineRule="exact"/>
        <w:jc w:val="both"/>
      </w:pPr>
      <w:r w:rsidRPr="00BE4A37">
        <w:t>Comitato per il lavoro e l’emersione del sommerso (2012) Relazione annuale sullo stato del mercato del lavoro e sui risultati dell’attivit</w:t>
      </w:r>
      <w:r>
        <w:t>à</w:t>
      </w:r>
      <w:r w:rsidRPr="00BE4A37">
        <w:t xml:space="preserve"> ispettiva – Anno 2011, Milano.</w:t>
      </w:r>
    </w:p>
    <w:p w:rsidR="00D77B0E" w:rsidRPr="00BE4A37" w:rsidRDefault="00D77B0E" w:rsidP="00D77B0E">
      <w:pPr>
        <w:spacing w:after="240" w:line="360" w:lineRule="exact"/>
        <w:jc w:val="both"/>
      </w:pPr>
      <w:r w:rsidRPr="00BE4A37">
        <w:t xml:space="preserve">Corte dei Conti (2012) Valutazioni sul sistema informativo dell’anagrafe tributaria e sul fenomeno dell’evasione fiscale ai fini del suo contrasto, in </w:t>
      </w:r>
      <w:r w:rsidRPr="00BE4A37">
        <w:rPr>
          <w:i/>
        </w:rPr>
        <w:t xml:space="preserve">Elementi per l’Audizione della Corte dei conti – Commissione Parlamentare di vigilanza sull’anagrafe tributaria, </w:t>
      </w:r>
      <w:r w:rsidRPr="00BE4A37">
        <w:t xml:space="preserve">Roma, luglio 2012. </w:t>
      </w:r>
    </w:p>
    <w:p w:rsidR="00D77B0E" w:rsidRDefault="00D77B0E" w:rsidP="00D77B0E">
      <w:pPr>
        <w:spacing w:after="240" w:line="360" w:lineRule="exact"/>
        <w:jc w:val="both"/>
      </w:pPr>
      <w:r w:rsidRPr="00866E0B">
        <w:t xml:space="preserve">Fiorio, C.V. e D’Amuri, F. (2005) Workers’ tax evasion in Italy, </w:t>
      </w:r>
      <w:r w:rsidRPr="00866E0B">
        <w:rPr>
          <w:i/>
        </w:rPr>
        <w:t xml:space="preserve">Giornale degli Economisti e Annali di Economia, </w:t>
      </w:r>
      <w:r>
        <w:t>vol.64: 247-270.</w:t>
      </w:r>
    </w:p>
    <w:p w:rsidR="00D77B0E" w:rsidRPr="009D35D3" w:rsidRDefault="00D77B0E" w:rsidP="00D77B0E">
      <w:pPr>
        <w:spacing w:after="240" w:line="360" w:lineRule="exact"/>
        <w:jc w:val="both"/>
      </w:pPr>
      <w:r w:rsidRPr="009D35D3">
        <w:t xml:space="preserve">Galbiati, R. e Zanardi, A. (2001) The redistributive effects of tax evasion: a comparison between conventional and multi-criteria perspectives, </w:t>
      </w:r>
      <w:r w:rsidRPr="009D35D3">
        <w:rPr>
          <w:i/>
        </w:rPr>
        <w:t xml:space="preserve">Econpubblica, </w:t>
      </w:r>
      <w:r w:rsidRPr="009D35D3">
        <w:t>Università Bocconi, Working Paper 81.</w:t>
      </w:r>
    </w:p>
    <w:p w:rsidR="00D77B0E" w:rsidRDefault="00D77B0E" w:rsidP="00D77B0E">
      <w:pPr>
        <w:spacing w:after="240" w:line="360" w:lineRule="exact"/>
        <w:jc w:val="both"/>
      </w:pPr>
      <w:r>
        <w:t>Giovannini et al (2011) Economia non osservata e flussi finanziari, relazione finale del gruppo di lavoro istituito presso il Ministero dell’Economia e delle Finanze.</w:t>
      </w:r>
    </w:p>
    <w:p w:rsidR="00D77B0E" w:rsidRDefault="00D77B0E" w:rsidP="00D77B0E">
      <w:pPr>
        <w:spacing w:after="240" w:line="360" w:lineRule="exact"/>
        <w:jc w:val="both"/>
      </w:pPr>
      <w:r>
        <w:t xml:space="preserve">INPS (2012) La tutela della legalità: la vigilanza, la lotta all’evasione contributiva e l’attività di Audit, in </w:t>
      </w:r>
      <w:r>
        <w:rPr>
          <w:i/>
        </w:rPr>
        <w:t>Rapporto Annuale 2011</w:t>
      </w:r>
      <w:r>
        <w:t>.</w:t>
      </w:r>
    </w:p>
    <w:p w:rsidR="00D77B0E" w:rsidRDefault="00D77B0E" w:rsidP="00D77B0E">
      <w:pPr>
        <w:spacing w:after="240" w:line="360" w:lineRule="exact"/>
        <w:jc w:val="both"/>
      </w:pPr>
      <w:r>
        <w:t xml:space="preserve">INPS Direzione regionale lombardia (2012) </w:t>
      </w:r>
      <w:r>
        <w:rPr>
          <w:i/>
        </w:rPr>
        <w:t>Rapporto Annuale 2011.</w:t>
      </w:r>
      <w:r>
        <w:t xml:space="preserve"> </w:t>
      </w:r>
    </w:p>
    <w:p w:rsidR="00D77B0E" w:rsidRDefault="00D77B0E" w:rsidP="00D77B0E">
      <w:pPr>
        <w:spacing w:after="240" w:line="360" w:lineRule="exact"/>
        <w:jc w:val="both"/>
      </w:pPr>
      <w:r>
        <w:t>Ires Lucia Morosini (2012), Analisi dei bilanci dei Comuni italiani, SPI CGIL Nazionale.</w:t>
      </w:r>
    </w:p>
    <w:p w:rsidR="00D77B0E" w:rsidRDefault="00D77B0E" w:rsidP="00D77B0E">
      <w:pPr>
        <w:spacing w:after="240" w:line="360" w:lineRule="exact"/>
        <w:jc w:val="both"/>
      </w:pPr>
      <w:r>
        <w:t xml:space="preserve">Ires Lucia Morosini (2011) I piani di zona in Lombardia, SPI CGIL Lombardia. </w:t>
      </w:r>
    </w:p>
    <w:p w:rsidR="00D77B0E" w:rsidRDefault="00D77B0E" w:rsidP="00D77B0E">
      <w:pPr>
        <w:spacing w:after="240" w:line="360" w:lineRule="exact"/>
        <w:jc w:val="both"/>
      </w:pPr>
      <w:r w:rsidRPr="0054209B">
        <w:t>ISTAT</w:t>
      </w:r>
      <w:r>
        <w:t xml:space="preserve"> (anni vari)</w:t>
      </w:r>
      <w:r w:rsidRPr="0054209B">
        <w:t xml:space="preserve">, La misura dell’economia sommersa secondo le statistiche ufficiali, </w:t>
      </w:r>
      <w:r>
        <w:rPr>
          <w:i/>
        </w:rPr>
        <w:t>Statistiche in breve</w:t>
      </w:r>
      <w:r>
        <w:t>.</w:t>
      </w:r>
    </w:p>
    <w:p w:rsidR="00D77B0E" w:rsidRPr="0054209B" w:rsidRDefault="00D77B0E" w:rsidP="00D77B0E">
      <w:pPr>
        <w:spacing w:after="240" w:line="360" w:lineRule="exact"/>
        <w:jc w:val="both"/>
      </w:pPr>
      <w:r>
        <w:t>ISTAT, Statistiche varie (2012, 2013).</w:t>
      </w:r>
    </w:p>
    <w:p w:rsidR="00D77B0E" w:rsidRDefault="00D77B0E" w:rsidP="00D77B0E">
      <w:pPr>
        <w:spacing w:after="240" w:line="360" w:lineRule="exact"/>
        <w:jc w:val="both"/>
      </w:pPr>
      <w:r>
        <w:t xml:space="preserve">Marino, M.R. e Zizza Roberta (2008) </w:t>
      </w:r>
      <w:r w:rsidRPr="00FC6757">
        <w:t>L’evasione dell’Irpef: una stima per tipologia di contribuente</w:t>
      </w:r>
      <w:r>
        <w:t xml:space="preserve">, </w:t>
      </w:r>
      <w:r w:rsidRPr="0054209B">
        <w:rPr>
          <w:i/>
        </w:rPr>
        <w:t>Banca d’Italia, Servizio Studi di Struttura economica e finanziaria</w:t>
      </w:r>
      <w:r>
        <w:t xml:space="preserve">. </w:t>
      </w:r>
    </w:p>
    <w:p w:rsidR="00D77B0E" w:rsidRDefault="00D77B0E" w:rsidP="00D77B0E">
      <w:pPr>
        <w:spacing w:after="240" w:line="360" w:lineRule="exact"/>
        <w:jc w:val="both"/>
      </w:pPr>
      <w:r>
        <w:t xml:space="preserve">Ministero del lavoro e delle politiche sociali (2012) Attività di vigilanza in materia di lavoro e di legislazione sociale – Anno 2011. </w:t>
      </w:r>
    </w:p>
    <w:p w:rsidR="00D77B0E" w:rsidRDefault="00D77B0E" w:rsidP="00D77B0E">
      <w:pPr>
        <w:spacing w:after="240" w:line="360" w:lineRule="exact"/>
        <w:jc w:val="both"/>
      </w:pPr>
      <w:r>
        <w:t xml:space="preserve">Monticelli, A. (2005) Economia sommersa ed evasione fiscale. Analisi teorica ed evidenze empiriche, </w:t>
      </w:r>
      <w:r>
        <w:rPr>
          <w:i/>
        </w:rPr>
        <w:t>SIDE working paper, Società italiana di Diritto ed Economia</w:t>
      </w:r>
      <w:r>
        <w:t>.</w:t>
      </w:r>
    </w:p>
    <w:p w:rsidR="00D77B0E" w:rsidRDefault="00D77B0E" w:rsidP="00D77B0E">
      <w:pPr>
        <w:spacing w:after="240" w:line="360" w:lineRule="exact"/>
        <w:jc w:val="both"/>
      </w:pPr>
      <w:r>
        <w:t xml:space="preserve">Neri, A. e Zizza, R. (2008), A multidimensional approach to incombe survey response errors, </w:t>
      </w:r>
      <w:r>
        <w:rPr>
          <w:i/>
        </w:rPr>
        <w:t>Banca d’Italia</w:t>
      </w:r>
      <w:r>
        <w:t>.</w:t>
      </w:r>
    </w:p>
    <w:p w:rsidR="00D77B0E" w:rsidRDefault="00D77B0E" w:rsidP="00D77B0E">
      <w:pPr>
        <w:spacing w:after="240" w:line="360" w:lineRule="exact"/>
        <w:jc w:val="both"/>
      </w:pPr>
      <w:r>
        <w:t xml:space="preserve">Pisani, S. e Polito, C. (2006a) Analisi dell’evasione fondata sui dati IRAP. Anni 1998-2002, </w:t>
      </w:r>
      <w:r>
        <w:rPr>
          <w:i/>
        </w:rPr>
        <w:t xml:space="preserve">Agenzia delle entrate, </w:t>
      </w:r>
      <w:r>
        <w:t>documento di lavoro dell’Ufficio Studi.</w:t>
      </w:r>
    </w:p>
    <w:p w:rsidR="00D77B0E" w:rsidRDefault="00D77B0E" w:rsidP="00D77B0E">
      <w:pPr>
        <w:spacing w:after="240" w:line="360" w:lineRule="exact"/>
        <w:jc w:val="both"/>
      </w:pPr>
      <w:r>
        <w:t xml:space="preserve">Pisani, S. e Polito, C. (2006b) Metodologia di integrazione tra i dati IRAP e quelli di Contabilità Nazionale, </w:t>
      </w:r>
      <w:r>
        <w:rPr>
          <w:i/>
        </w:rPr>
        <w:t xml:space="preserve">Agenzia delle entrate, </w:t>
      </w:r>
      <w:r>
        <w:t>documento di lavoro dell’Ufficio Studi.</w:t>
      </w:r>
    </w:p>
    <w:p w:rsidR="00D77B0E" w:rsidRDefault="00D77B0E" w:rsidP="00D77B0E">
      <w:pPr>
        <w:spacing w:after="240" w:line="360" w:lineRule="exact"/>
        <w:jc w:val="both"/>
      </w:pPr>
      <w:r>
        <w:t xml:space="preserve">Pugliese, E. (2009) Il lavoro nero, in </w:t>
      </w:r>
      <w:r>
        <w:rPr>
          <w:i/>
        </w:rPr>
        <w:t>Il lavoro che cambia. Contributi tematici e raccomandazioni</w:t>
      </w:r>
      <w:r>
        <w:t>, CNEL.</w:t>
      </w:r>
    </w:p>
    <w:p w:rsidR="00D77B0E" w:rsidRPr="00995548" w:rsidRDefault="00D77B0E" w:rsidP="00D77B0E">
      <w:pPr>
        <w:spacing w:after="240" w:line="360" w:lineRule="exact"/>
        <w:jc w:val="both"/>
      </w:pPr>
      <w:r>
        <w:t xml:space="preserve">Vitaletti, G. (2012) L’evasione fiscale. Modi di manifestazione e misure per l’emersione, XXIV conferenza </w:t>
      </w:r>
      <w:r>
        <w:rPr>
          <w:i/>
        </w:rPr>
        <w:t xml:space="preserve">Società Italiana di Economia Pubblica, </w:t>
      </w:r>
      <w:r>
        <w:t>Pavia.</w:t>
      </w:r>
    </w:p>
    <w:p w:rsidR="00D77B0E" w:rsidRDefault="00D77B0E"/>
    <w:p w:rsidR="00D77B0E" w:rsidRDefault="00D77B0E"/>
    <w:p w:rsidR="00D77B0E" w:rsidRDefault="00D77B0E"/>
    <w:p w:rsidR="00D77B0E" w:rsidRDefault="00D77B0E"/>
    <w:sectPr w:rsidR="00D77B0E" w:rsidSect="00D73F13">
      <w:footerReference w:type="default" r:id="rId22"/>
      <w:pgSz w:w="11906" w:h="16838"/>
      <w:pgMar w:top="1417"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7F" w:rsidRDefault="0076607F" w:rsidP="002F1C54">
      <w:r>
        <w:separator/>
      </w:r>
    </w:p>
  </w:endnote>
  <w:endnote w:type="continuationSeparator" w:id="0">
    <w:p w:rsidR="0076607F" w:rsidRDefault="0076607F" w:rsidP="002F1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3082"/>
      <w:docPartObj>
        <w:docPartGallery w:val="Page Numbers (Bottom of Page)"/>
        <w:docPartUnique/>
      </w:docPartObj>
    </w:sdtPr>
    <w:sdtContent>
      <w:p w:rsidR="00D73F13" w:rsidRDefault="003D5421">
        <w:pPr>
          <w:pStyle w:val="Pidipagina"/>
          <w:jc w:val="center"/>
        </w:pPr>
        <w:r>
          <w:fldChar w:fldCharType="begin"/>
        </w:r>
        <w:r w:rsidR="00D73F13">
          <w:instrText xml:space="preserve"> PAGE   \* MERGEFORMAT </w:instrText>
        </w:r>
        <w:r>
          <w:fldChar w:fldCharType="separate"/>
        </w:r>
        <w:r w:rsidR="00FD7CB5">
          <w:rPr>
            <w:noProof/>
          </w:rPr>
          <w:t>68</w:t>
        </w:r>
        <w:r>
          <w:rPr>
            <w:noProof/>
          </w:rPr>
          <w:fldChar w:fldCharType="end"/>
        </w:r>
      </w:p>
    </w:sdtContent>
  </w:sdt>
  <w:p w:rsidR="00D73F13" w:rsidRPr="002C1E33" w:rsidRDefault="00D73F13">
    <w:pPr>
      <w:pStyle w:val="Pidipagin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7F" w:rsidRDefault="0076607F" w:rsidP="002F1C54">
      <w:r>
        <w:separator/>
      </w:r>
    </w:p>
  </w:footnote>
  <w:footnote w:type="continuationSeparator" w:id="0">
    <w:p w:rsidR="0076607F" w:rsidRDefault="0076607F" w:rsidP="002F1C54">
      <w:r>
        <w:continuationSeparator/>
      </w:r>
    </w:p>
  </w:footnote>
  <w:footnote w:id="1">
    <w:p w:rsidR="00D73F13" w:rsidRDefault="00D73F13" w:rsidP="002F1C54">
      <w:pPr>
        <w:pStyle w:val="Testonotaapidipagina"/>
      </w:pPr>
      <w:r>
        <w:rPr>
          <w:rStyle w:val="Rimandonotaapidipagina"/>
        </w:rPr>
        <w:footnoteRef/>
      </w:r>
      <w:r>
        <w:t xml:space="preserve"> Nel caso dell’occupazione irregolare e regolare le stime sono prodotte anche a livello regionale.</w:t>
      </w:r>
    </w:p>
  </w:footnote>
  <w:footnote w:id="2">
    <w:p w:rsidR="00D73F13" w:rsidRDefault="00D73F13" w:rsidP="002F1C54">
      <w:pPr>
        <w:pStyle w:val="Testonotaapidipagina"/>
      </w:pPr>
      <w:r>
        <w:rPr>
          <w:rStyle w:val="Rimandonotaapidipagina"/>
        </w:rPr>
        <w:footnoteRef/>
      </w:r>
      <w:r>
        <w:t xml:space="preserve"> Sottolineiamo, però, che essendo beni e servizi che per legge non dovrebbero essere prodotti (ad esempio, il mercato degli stupefacenti), non può essere considerata propriamente come evasione.</w:t>
      </w:r>
    </w:p>
  </w:footnote>
  <w:footnote w:id="3">
    <w:p w:rsidR="00D73F13" w:rsidRDefault="00D73F13" w:rsidP="002F1C54">
      <w:pPr>
        <w:pStyle w:val="Testonotaapidipagina"/>
      </w:pPr>
      <w:r>
        <w:rPr>
          <w:rStyle w:val="Rimandonotaapidipagina"/>
        </w:rPr>
        <w:footnoteRef/>
      </w:r>
      <w:r>
        <w:t xml:space="preserve"> Questa è la definizione adottata in sede ISTAT.</w:t>
      </w:r>
    </w:p>
  </w:footnote>
  <w:footnote w:id="4">
    <w:p w:rsidR="00D73F13" w:rsidRDefault="00D73F13" w:rsidP="002F1C54">
      <w:pPr>
        <w:pStyle w:val="Testonotaapidipagina"/>
      </w:pPr>
      <w:r>
        <w:rPr>
          <w:rStyle w:val="Rimandonotaapidipagina"/>
        </w:rPr>
        <w:footnoteRef/>
      </w:r>
      <w:r>
        <w:t xml:space="preserve"> La presenza di valori lievemente negativi è da imputare al fatto che si tratta di stime derivanti da indagini campionarie che risentono quindi della presenza di possibili lievi distorsioni.</w:t>
      </w:r>
    </w:p>
  </w:footnote>
  <w:footnote w:id="5">
    <w:p w:rsidR="00D73F13" w:rsidRPr="00AB387C" w:rsidRDefault="00D73F13" w:rsidP="002F1C54">
      <w:pPr>
        <w:pStyle w:val="NormaleWeb"/>
        <w:spacing w:before="0" w:beforeAutospacing="0" w:after="0"/>
        <w:rPr>
          <w:rFonts w:asciiTheme="minorHAnsi" w:eastAsiaTheme="minorEastAsia" w:hAnsiTheme="minorHAnsi" w:cstheme="minorBidi"/>
          <w:sz w:val="20"/>
          <w:szCs w:val="20"/>
        </w:rPr>
      </w:pPr>
      <w:r>
        <w:rPr>
          <w:rStyle w:val="Rimandonotaapidipagina"/>
          <w:rFonts w:eastAsiaTheme="majorEastAsia"/>
        </w:rPr>
        <w:footnoteRef/>
      </w:r>
      <w:r>
        <w:t xml:space="preserve"> </w:t>
      </w:r>
      <w:r w:rsidRPr="00AB387C">
        <w:rPr>
          <w:rFonts w:asciiTheme="minorHAnsi" w:eastAsiaTheme="minorEastAsia" w:hAnsiTheme="minorHAnsi" w:cstheme="minorBidi"/>
          <w:sz w:val="20"/>
          <w:szCs w:val="20"/>
        </w:rPr>
        <w:t>L’auditing fiscale è una metodologia che</w:t>
      </w:r>
      <w:r>
        <w:t xml:space="preserve"> </w:t>
      </w:r>
      <w:r w:rsidRPr="00AB387C">
        <w:rPr>
          <w:rFonts w:asciiTheme="minorHAnsi" w:eastAsiaTheme="minorEastAsia" w:hAnsiTheme="minorHAnsi" w:cstheme="minorBidi"/>
          <w:sz w:val="20"/>
          <w:szCs w:val="20"/>
        </w:rPr>
        <w:t>quantifica la percentuale di evasori guardando</w:t>
      </w:r>
      <w:r>
        <w:rPr>
          <w:rFonts w:asciiTheme="minorHAnsi" w:eastAsiaTheme="minorEastAsia" w:hAnsiTheme="minorHAnsi" w:cstheme="minorBidi"/>
          <w:sz w:val="20"/>
          <w:szCs w:val="20"/>
        </w:rPr>
        <w:t xml:space="preserve"> </w:t>
      </w:r>
      <w:r w:rsidRPr="00AB387C">
        <w:rPr>
          <w:rFonts w:asciiTheme="minorHAnsi" w:eastAsiaTheme="minorEastAsia" w:hAnsiTheme="minorHAnsi" w:cstheme="minorBidi"/>
          <w:sz w:val="20"/>
          <w:szCs w:val="20"/>
        </w:rPr>
        <w:t xml:space="preserve">alla </w:t>
      </w:r>
      <w:r>
        <w:rPr>
          <w:rFonts w:asciiTheme="minorHAnsi" w:eastAsiaTheme="minorEastAsia" w:hAnsiTheme="minorHAnsi" w:cstheme="minorBidi"/>
          <w:sz w:val="20"/>
          <w:szCs w:val="20"/>
        </w:rPr>
        <w:t>percentuale</w:t>
      </w:r>
      <w:r w:rsidRPr="00AB387C">
        <w:rPr>
          <w:rFonts w:asciiTheme="minorHAnsi" w:eastAsiaTheme="minorEastAsia" w:hAnsiTheme="minorHAnsi" w:cstheme="minorBidi"/>
          <w:sz w:val="20"/>
          <w:szCs w:val="20"/>
        </w:rPr>
        <w:t xml:space="preserve"> dei controlli con esito positivo, ossia in cui le dichiarazioni fiscali non</w:t>
      </w:r>
      <w:r>
        <w:rPr>
          <w:rFonts w:asciiTheme="minorHAnsi" w:eastAsiaTheme="minorEastAsia" w:hAnsiTheme="minorHAnsi" w:cstheme="minorBidi"/>
          <w:sz w:val="20"/>
          <w:szCs w:val="20"/>
        </w:rPr>
        <w:t xml:space="preserve"> </w:t>
      </w:r>
      <w:r w:rsidRPr="00AB387C">
        <w:rPr>
          <w:rFonts w:asciiTheme="minorHAnsi" w:eastAsiaTheme="minorEastAsia" w:hAnsiTheme="minorHAnsi" w:cstheme="minorBidi"/>
          <w:sz w:val="20"/>
          <w:szCs w:val="20"/>
        </w:rPr>
        <w:t>risultano veritiere a seguito di accertamenti</w:t>
      </w:r>
      <w:r>
        <w:rPr>
          <w:rFonts w:asciiTheme="minorHAnsi" w:eastAsiaTheme="minorEastAsia" w:hAnsiTheme="minorHAnsi" w:cstheme="minorBidi"/>
          <w:sz w:val="20"/>
          <w:szCs w:val="20"/>
        </w:rPr>
        <w:t>.</w:t>
      </w:r>
    </w:p>
    <w:p w:rsidR="00D73F13" w:rsidRDefault="00D73F13" w:rsidP="002F1C54">
      <w:pPr>
        <w:pStyle w:val="Testonotaapidipagina"/>
      </w:pPr>
    </w:p>
  </w:footnote>
  <w:footnote w:id="6">
    <w:p w:rsidR="00D73F13" w:rsidRDefault="00D73F13" w:rsidP="002F1C54">
      <w:pPr>
        <w:pStyle w:val="Testonotaapidipagina"/>
      </w:pPr>
      <w:r>
        <w:rPr>
          <w:rStyle w:val="Rimandonotaapidipagina"/>
          <w:rFonts w:eastAsiaTheme="majorEastAsia"/>
        </w:rPr>
        <w:footnoteRef/>
      </w:r>
      <w:r>
        <w:t xml:space="preserve"> </w:t>
      </w:r>
      <w:r w:rsidRPr="005A058B">
        <w:t>http://www.centrostudisintesi.com/?p=2839</w:t>
      </w:r>
    </w:p>
  </w:footnote>
  <w:footnote w:id="7">
    <w:p w:rsidR="00D73F13" w:rsidRPr="005D36E9" w:rsidRDefault="00D73F13" w:rsidP="002F1C54">
      <w:pPr>
        <w:spacing w:line="360" w:lineRule="auto"/>
        <w:jc w:val="both"/>
        <w:rPr>
          <w:sz w:val="20"/>
          <w:szCs w:val="20"/>
        </w:rPr>
      </w:pPr>
      <w:r>
        <w:rPr>
          <w:rStyle w:val="Rimandonotaapidipagina"/>
          <w:rFonts w:eastAsiaTheme="majorEastAsia"/>
        </w:rPr>
        <w:footnoteRef/>
      </w:r>
      <w:r>
        <w:t xml:space="preserve"> </w:t>
      </w:r>
      <w:r w:rsidRPr="005D36E9">
        <w:rPr>
          <w:sz w:val="20"/>
          <w:szCs w:val="20"/>
        </w:rPr>
        <w:t>Cfr. Stima del lavoro sommerso e del rischio di evasione fiscale nella regione Lombardia</w:t>
      </w:r>
    </w:p>
    <w:p w:rsidR="00D73F13" w:rsidRDefault="00D73F13" w:rsidP="002F1C54">
      <w:pPr>
        <w:pStyle w:val="Testonotaapidipagina"/>
      </w:pPr>
    </w:p>
  </w:footnote>
  <w:footnote w:id="8">
    <w:p w:rsidR="00D73F13" w:rsidRDefault="00D73F13" w:rsidP="002F1C54">
      <w:pPr>
        <w:pStyle w:val="Testonotaapidipagina"/>
      </w:pPr>
      <w:r>
        <w:rPr>
          <w:rStyle w:val="Rimandonotaapidipagina"/>
          <w:rFonts w:eastAsiaTheme="majorEastAsia"/>
        </w:rPr>
        <w:footnoteRef/>
      </w:r>
      <w:r>
        <w:t xml:space="preserve"> </w:t>
      </w:r>
      <w:r w:rsidRPr="009B13CD">
        <w:t>Aviatico, Piario, Fuipiano Valle Imagna, Costa Serina, Valsecca, Strozza, Fonteno, Cornalba</w:t>
      </w:r>
    </w:p>
  </w:footnote>
  <w:footnote w:id="9">
    <w:p w:rsidR="00D73F13" w:rsidRDefault="00D73F13" w:rsidP="002F1C54">
      <w:pPr>
        <w:pStyle w:val="Testonotaapidipagina"/>
      </w:pPr>
      <w:r>
        <w:rPr>
          <w:rStyle w:val="Rimandonotaapidipagina"/>
          <w:rFonts w:eastAsiaTheme="majorEastAsia"/>
        </w:rPr>
        <w:footnoteRef/>
      </w:r>
      <w:r>
        <w:t xml:space="preserve"> I dati relativi alle dichiarazioni IRPEF sono stati scaricati dal sito del Ministero delle finanze e fanno riferimento all’anno 2010.</w:t>
      </w:r>
    </w:p>
  </w:footnote>
  <w:footnote w:id="10">
    <w:p w:rsidR="00D73F13" w:rsidRDefault="00D73F13" w:rsidP="002F1C54">
      <w:pPr>
        <w:pStyle w:val="Testonotaapidipagina"/>
      </w:pPr>
      <w:r>
        <w:rPr>
          <w:rStyle w:val="Rimandonotaapidipagina"/>
          <w:rFonts w:eastAsiaTheme="majorEastAsia"/>
        </w:rPr>
        <w:footnoteRef/>
      </w:r>
      <w:r>
        <w:t xml:space="preserve"> </w:t>
      </w:r>
      <w:r w:rsidRPr="00C36C0A">
        <w:t>Osio Sotto, Seriate, Ponte San Pietro, Caravaggio</w:t>
      </w:r>
    </w:p>
  </w:footnote>
  <w:footnote w:id="11">
    <w:p w:rsidR="00D73F13" w:rsidRPr="00C87CAE" w:rsidRDefault="00D73F13" w:rsidP="00D77B0E">
      <w:pPr>
        <w:shd w:val="clear" w:color="auto" w:fill="FFFFFF"/>
        <w:spacing w:after="270"/>
        <w:rPr>
          <w:sz w:val="20"/>
          <w:szCs w:val="20"/>
        </w:rPr>
      </w:pPr>
      <w:r w:rsidRPr="00127AF2">
        <w:rPr>
          <w:rStyle w:val="tnn"/>
          <w:sz w:val="18"/>
          <w:szCs w:val="18"/>
        </w:rPr>
        <w:footnoteRef/>
      </w:r>
      <w:r w:rsidRPr="00127AF2">
        <w:t xml:space="preserve"> </w:t>
      </w:r>
      <w:r w:rsidRPr="00C87CAE">
        <w:rPr>
          <w:sz w:val="20"/>
          <w:szCs w:val="20"/>
        </w:rPr>
        <w:t xml:space="preserve">Si </w:t>
      </w:r>
      <w:r>
        <w:rPr>
          <w:sz w:val="20"/>
          <w:szCs w:val="20"/>
        </w:rPr>
        <w:t xml:space="preserve">veda ad esempio Ecodibergamo.it, </w:t>
      </w:r>
      <w:r w:rsidRPr="00C87CAE">
        <w:rPr>
          <w:sz w:val="20"/>
          <w:szCs w:val="20"/>
        </w:rPr>
        <w:t xml:space="preserve"> </w:t>
      </w:r>
      <w:hyperlink r:id="rId1" w:history="1">
        <w:r w:rsidRPr="00C87CAE">
          <w:rPr>
            <w:rStyle w:val="Collegamentoipertestuale"/>
            <w:sz w:val="20"/>
            <w:szCs w:val="20"/>
          </w:rPr>
          <w:t>http://www.ecodibergamo.it/stories/Cronaca/344005_mafia/</w:t>
        </w:r>
      </w:hyperlink>
      <w:r w:rsidRPr="00C87CAE">
        <w:rPr>
          <w:sz w:val="20"/>
          <w:szCs w:val="20"/>
        </w:rPr>
        <w:t>, 18gennaio 2013,</w:t>
      </w:r>
      <w:r>
        <w:rPr>
          <w:sz w:val="20"/>
          <w:szCs w:val="20"/>
        </w:rPr>
        <w:t xml:space="preserve"> </w:t>
      </w:r>
      <w:r w:rsidRPr="00C87CAE">
        <w:rPr>
          <w:rFonts w:cs="Arial"/>
          <w:sz w:val="20"/>
          <w:szCs w:val="20"/>
        </w:rPr>
        <w:t>Mafia, Bergamo non è immune. In attività Camorra e 'Ndrangheta</w:t>
      </w:r>
      <w:r>
        <w:rPr>
          <w:rFonts w:cs="Arial"/>
          <w:sz w:val="20"/>
          <w:szCs w:val="20"/>
        </w:rPr>
        <w:t>.</w:t>
      </w:r>
      <w:r w:rsidRPr="00C87CAE">
        <w:rPr>
          <w:sz w:val="20"/>
          <w:szCs w:val="20"/>
        </w:rPr>
        <w:t xml:space="preserve"> </w:t>
      </w:r>
    </w:p>
  </w:footnote>
  <w:footnote w:id="12">
    <w:p w:rsidR="00D73F13" w:rsidRDefault="00D73F13" w:rsidP="00D77B0E">
      <w:pPr>
        <w:pStyle w:val="Testonotaapidipagina"/>
        <w:spacing w:after="120"/>
        <w:jc w:val="both"/>
      </w:pPr>
      <w:r>
        <w:rPr>
          <w:rStyle w:val="Rimandonotaapidipagina"/>
          <w:rFonts w:eastAsiaTheme="majorEastAsia"/>
        </w:rPr>
        <w:footnoteRef/>
      </w:r>
      <w:r>
        <w:t xml:space="preserve"> Viene così definita dal Ministero dell’Economia e delle Finanze l’aliquota dell’addizionale comunale all’Irpef differenziata su base reddituale o in funzione di altre caratteristiche del contribuente (età, tipologia di reddito, etc.) </w:t>
      </w:r>
    </w:p>
  </w:footnote>
  <w:footnote w:id="13">
    <w:p w:rsidR="00D73F13" w:rsidRDefault="00D73F13" w:rsidP="00D77B0E">
      <w:pPr>
        <w:pStyle w:val="Testonotaapidipagina"/>
        <w:jc w:val="both"/>
      </w:pPr>
      <w:r>
        <w:rPr>
          <w:rStyle w:val="Rimandonotaapidipagina"/>
          <w:rFonts w:eastAsiaTheme="majorEastAsia"/>
        </w:rPr>
        <w:footnoteRef/>
      </w:r>
      <w:r>
        <w:t xml:space="preserve"> </w:t>
      </w:r>
      <w:r w:rsidRPr="003B3D85">
        <w:t>l’incidenza è calcolata sul totale dei comuni per il quale il Ministero dell’Economia e delle Finanze mette a disposizione i dati</w:t>
      </w:r>
      <w:r>
        <w:t>. L’analisi è quindi relativa a 1.291 comuni lombardi</w:t>
      </w:r>
      <w:r w:rsidRPr="003B3D8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1A97E2"/>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7"/>
    <w:lvl w:ilvl="0">
      <w:numFmt w:val="bullet"/>
      <w:lvlText w:val="-"/>
      <w:lvlJc w:val="left"/>
      <w:pPr>
        <w:tabs>
          <w:tab w:val="num" w:pos="0"/>
        </w:tabs>
        <w:ind w:left="765" w:hanging="405"/>
      </w:pPr>
      <w:rPr>
        <w:rFonts w:ascii="Cambria" w:hAnsi="Cambria" w:cs="Wingdings"/>
      </w:rPr>
    </w:lvl>
  </w:abstractNum>
  <w:abstractNum w:abstractNumId="2">
    <w:nsid w:val="00D0551B"/>
    <w:multiLevelType w:val="hybridMultilevel"/>
    <w:tmpl w:val="540A8A76"/>
    <w:lvl w:ilvl="0" w:tplc="3F949AC0">
      <w:start w:val="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A48"/>
    <w:multiLevelType w:val="multilevel"/>
    <w:tmpl w:val="016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A09CD"/>
    <w:multiLevelType w:val="hybridMultilevel"/>
    <w:tmpl w:val="760623F8"/>
    <w:lvl w:ilvl="0" w:tplc="A580B972">
      <w:start w:val="1"/>
      <w:numFmt w:val="lowerLetter"/>
      <w:lvlText w:val="%1)"/>
      <w:lvlJc w:val="left"/>
      <w:pPr>
        <w:tabs>
          <w:tab w:val="num" w:pos="720"/>
        </w:tabs>
        <w:ind w:left="720" w:hanging="360"/>
      </w:pPr>
      <w:rPr>
        <w:rFonts w:hint="default"/>
        <w:i w:val="0"/>
      </w:rPr>
    </w:lvl>
    <w:lvl w:ilvl="1" w:tplc="334AFFB2">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5773E4"/>
    <w:multiLevelType w:val="hybridMultilevel"/>
    <w:tmpl w:val="C6FC3E52"/>
    <w:lvl w:ilvl="0" w:tplc="4022E500">
      <w:start w:val="3"/>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A64DA9"/>
    <w:multiLevelType w:val="hybridMultilevel"/>
    <w:tmpl w:val="277E5982"/>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21A3DD6"/>
    <w:multiLevelType w:val="hybridMultilevel"/>
    <w:tmpl w:val="054C9B9A"/>
    <w:lvl w:ilvl="0" w:tplc="ECF87E76">
      <w:start w:val="255"/>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727DF0"/>
    <w:multiLevelType w:val="hybridMultilevel"/>
    <w:tmpl w:val="9926C690"/>
    <w:lvl w:ilvl="0" w:tplc="31CE0D6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9191AEC"/>
    <w:multiLevelType w:val="hybridMultilevel"/>
    <w:tmpl w:val="D58AC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64708"/>
    <w:multiLevelType w:val="hybridMultilevel"/>
    <w:tmpl w:val="10A84E26"/>
    <w:lvl w:ilvl="0" w:tplc="48EC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E5E00"/>
    <w:multiLevelType w:val="hybridMultilevel"/>
    <w:tmpl w:val="7548E28E"/>
    <w:lvl w:ilvl="0" w:tplc="A864745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4268CE"/>
    <w:multiLevelType w:val="hybridMultilevel"/>
    <w:tmpl w:val="E25227AE"/>
    <w:lvl w:ilvl="0" w:tplc="5EAC774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EB155DD"/>
    <w:multiLevelType w:val="hybridMultilevel"/>
    <w:tmpl w:val="68A891F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FE57EBA"/>
    <w:multiLevelType w:val="hybridMultilevel"/>
    <w:tmpl w:val="64466FAE"/>
    <w:lvl w:ilvl="0" w:tplc="1168489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B67704"/>
    <w:multiLevelType w:val="hybridMultilevel"/>
    <w:tmpl w:val="326A5E42"/>
    <w:lvl w:ilvl="0" w:tplc="FE4EA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2"/>
  </w:num>
  <w:num w:numId="5">
    <w:abstractNumId w:val="0"/>
  </w:num>
  <w:num w:numId="6">
    <w:abstractNumId w:val="9"/>
  </w:num>
  <w:num w:numId="7">
    <w:abstractNumId w:val="10"/>
  </w:num>
  <w:num w:numId="8">
    <w:abstractNumId w:val="15"/>
  </w:num>
  <w:num w:numId="9">
    <w:abstractNumId w:val="14"/>
  </w:num>
  <w:num w:numId="10">
    <w:abstractNumId w:val="1"/>
  </w:num>
  <w:num w:numId="11">
    <w:abstractNumId w:val="11"/>
  </w:num>
  <w:num w:numId="12">
    <w:abstractNumId w:val="2"/>
  </w:num>
  <w:num w:numId="13">
    <w:abstractNumId w:val="5"/>
  </w:num>
  <w:num w:numId="14">
    <w:abstractNumId w:val="6"/>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2F1C54"/>
    <w:rsid w:val="000059A6"/>
    <w:rsid w:val="0000609C"/>
    <w:rsid w:val="000212D0"/>
    <w:rsid w:val="0002168C"/>
    <w:rsid w:val="00021B53"/>
    <w:rsid w:val="00021F60"/>
    <w:rsid w:val="000220DC"/>
    <w:rsid w:val="0002279F"/>
    <w:rsid w:val="00024E2B"/>
    <w:rsid w:val="00025BFB"/>
    <w:rsid w:val="00030D47"/>
    <w:rsid w:val="00034E6F"/>
    <w:rsid w:val="00034FFD"/>
    <w:rsid w:val="000352FA"/>
    <w:rsid w:val="00035DCF"/>
    <w:rsid w:val="00036C7D"/>
    <w:rsid w:val="000416EF"/>
    <w:rsid w:val="00041C97"/>
    <w:rsid w:val="00045552"/>
    <w:rsid w:val="000476CA"/>
    <w:rsid w:val="00047799"/>
    <w:rsid w:val="00047C2C"/>
    <w:rsid w:val="00053E8E"/>
    <w:rsid w:val="0005438F"/>
    <w:rsid w:val="000611B1"/>
    <w:rsid w:val="0006313B"/>
    <w:rsid w:val="00063FB5"/>
    <w:rsid w:val="0006516C"/>
    <w:rsid w:val="000766ED"/>
    <w:rsid w:val="00076E36"/>
    <w:rsid w:val="000773C4"/>
    <w:rsid w:val="00082E18"/>
    <w:rsid w:val="00083E1A"/>
    <w:rsid w:val="00085741"/>
    <w:rsid w:val="00092454"/>
    <w:rsid w:val="00092F91"/>
    <w:rsid w:val="000933C5"/>
    <w:rsid w:val="00096757"/>
    <w:rsid w:val="00096C45"/>
    <w:rsid w:val="000A2F63"/>
    <w:rsid w:val="000A5794"/>
    <w:rsid w:val="000B0B1C"/>
    <w:rsid w:val="000B569D"/>
    <w:rsid w:val="000C0682"/>
    <w:rsid w:val="000C174E"/>
    <w:rsid w:val="000C2CB5"/>
    <w:rsid w:val="000C3D42"/>
    <w:rsid w:val="000C648C"/>
    <w:rsid w:val="000C67A4"/>
    <w:rsid w:val="000D40B8"/>
    <w:rsid w:val="000D4946"/>
    <w:rsid w:val="000D6BE8"/>
    <w:rsid w:val="000D7A9F"/>
    <w:rsid w:val="000E0DAA"/>
    <w:rsid w:val="000E34AE"/>
    <w:rsid w:val="000E3692"/>
    <w:rsid w:val="000F139E"/>
    <w:rsid w:val="000F1F41"/>
    <w:rsid w:val="000F30F4"/>
    <w:rsid w:val="000F4732"/>
    <w:rsid w:val="00100B64"/>
    <w:rsid w:val="00113A38"/>
    <w:rsid w:val="0011734D"/>
    <w:rsid w:val="00120179"/>
    <w:rsid w:val="001237EA"/>
    <w:rsid w:val="0012713B"/>
    <w:rsid w:val="0013019B"/>
    <w:rsid w:val="00132E55"/>
    <w:rsid w:val="00135F9F"/>
    <w:rsid w:val="00136049"/>
    <w:rsid w:val="00136F88"/>
    <w:rsid w:val="00142A3D"/>
    <w:rsid w:val="0015620C"/>
    <w:rsid w:val="001576EE"/>
    <w:rsid w:val="00157793"/>
    <w:rsid w:val="00157B1F"/>
    <w:rsid w:val="00160026"/>
    <w:rsid w:val="001602C3"/>
    <w:rsid w:val="00161C78"/>
    <w:rsid w:val="00162120"/>
    <w:rsid w:val="00164AB3"/>
    <w:rsid w:val="00172232"/>
    <w:rsid w:val="001740A4"/>
    <w:rsid w:val="001748C1"/>
    <w:rsid w:val="0018582D"/>
    <w:rsid w:val="00191FDC"/>
    <w:rsid w:val="001944F8"/>
    <w:rsid w:val="00194858"/>
    <w:rsid w:val="001A3E88"/>
    <w:rsid w:val="001A46B2"/>
    <w:rsid w:val="001A60D8"/>
    <w:rsid w:val="001A7318"/>
    <w:rsid w:val="001B1B11"/>
    <w:rsid w:val="001B2269"/>
    <w:rsid w:val="001B3A60"/>
    <w:rsid w:val="001C0160"/>
    <w:rsid w:val="001C2AAB"/>
    <w:rsid w:val="001C7DE6"/>
    <w:rsid w:val="001D1092"/>
    <w:rsid w:val="001E2231"/>
    <w:rsid w:val="001E256B"/>
    <w:rsid w:val="001E31B4"/>
    <w:rsid w:val="001E3517"/>
    <w:rsid w:val="001E5B9F"/>
    <w:rsid w:val="001F1AE5"/>
    <w:rsid w:val="001F35B4"/>
    <w:rsid w:val="002050D9"/>
    <w:rsid w:val="00211898"/>
    <w:rsid w:val="002178BA"/>
    <w:rsid w:val="0021795D"/>
    <w:rsid w:val="0022265E"/>
    <w:rsid w:val="002228E5"/>
    <w:rsid w:val="00222CFA"/>
    <w:rsid w:val="002242FA"/>
    <w:rsid w:val="00224E5F"/>
    <w:rsid w:val="00230E46"/>
    <w:rsid w:val="00231ECA"/>
    <w:rsid w:val="0023697D"/>
    <w:rsid w:val="00241D6D"/>
    <w:rsid w:val="00242EFA"/>
    <w:rsid w:val="002439FD"/>
    <w:rsid w:val="00243A02"/>
    <w:rsid w:val="0024553C"/>
    <w:rsid w:val="0024626A"/>
    <w:rsid w:val="002504F5"/>
    <w:rsid w:val="00257E5E"/>
    <w:rsid w:val="0026289C"/>
    <w:rsid w:val="0026331D"/>
    <w:rsid w:val="00265559"/>
    <w:rsid w:val="002662F6"/>
    <w:rsid w:val="00267597"/>
    <w:rsid w:val="00270853"/>
    <w:rsid w:val="0027538D"/>
    <w:rsid w:val="0027569B"/>
    <w:rsid w:val="002772E2"/>
    <w:rsid w:val="00287C6B"/>
    <w:rsid w:val="00287E3D"/>
    <w:rsid w:val="00293A9F"/>
    <w:rsid w:val="00294B17"/>
    <w:rsid w:val="00294E5D"/>
    <w:rsid w:val="00295942"/>
    <w:rsid w:val="00295C98"/>
    <w:rsid w:val="002978B5"/>
    <w:rsid w:val="002A567F"/>
    <w:rsid w:val="002A70F2"/>
    <w:rsid w:val="002C05AE"/>
    <w:rsid w:val="002C19EB"/>
    <w:rsid w:val="002C54BA"/>
    <w:rsid w:val="002C6561"/>
    <w:rsid w:val="002D19C0"/>
    <w:rsid w:val="002D3398"/>
    <w:rsid w:val="002D4BCC"/>
    <w:rsid w:val="002D7F4A"/>
    <w:rsid w:val="002E140C"/>
    <w:rsid w:val="002E5985"/>
    <w:rsid w:val="002E5E49"/>
    <w:rsid w:val="002E5F42"/>
    <w:rsid w:val="002E7ED9"/>
    <w:rsid w:val="002F02BD"/>
    <w:rsid w:val="002F06E3"/>
    <w:rsid w:val="002F1962"/>
    <w:rsid w:val="002F1C54"/>
    <w:rsid w:val="002F4482"/>
    <w:rsid w:val="002F495C"/>
    <w:rsid w:val="002F5735"/>
    <w:rsid w:val="002F5903"/>
    <w:rsid w:val="002F7BB2"/>
    <w:rsid w:val="00303182"/>
    <w:rsid w:val="003039E6"/>
    <w:rsid w:val="003102A9"/>
    <w:rsid w:val="00311BD8"/>
    <w:rsid w:val="00313FBC"/>
    <w:rsid w:val="00314C5F"/>
    <w:rsid w:val="0031515D"/>
    <w:rsid w:val="003154CB"/>
    <w:rsid w:val="00315A3C"/>
    <w:rsid w:val="00316393"/>
    <w:rsid w:val="003209C3"/>
    <w:rsid w:val="00325480"/>
    <w:rsid w:val="00325E6E"/>
    <w:rsid w:val="003276B3"/>
    <w:rsid w:val="003348A8"/>
    <w:rsid w:val="00334DC3"/>
    <w:rsid w:val="00335E38"/>
    <w:rsid w:val="00336F68"/>
    <w:rsid w:val="003414BE"/>
    <w:rsid w:val="00342D62"/>
    <w:rsid w:val="0034495B"/>
    <w:rsid w:val="00350CD7"/>
    <w:rsid w:val="003538FA"/>
    <w:rsid w:val="00355CCC"/>
    <w:rsid w:val="0035628E"/>
    <w:rsid w:val="00356AF3"/>
    <w:rsid w:val="00357852"/>
    <w:rsid w:val="00360A6C"/>
    <w:rsid w:val="003625D6"/>
    <w:rsid w:val="00363CC8"/>
    <w:rsid w:val="00366D5B"/>
    <w:rsid w:val="00371252"/>
    <w:rsid w:val="00376B82"/>
    <w:rsid w:val="00381377"/>
    <w:rsid w:val="003848B9"/>
    <w:rsid w:val="0038710A"/>
    <w:rsid w:val="00391BCF"/>
    <w:rsid w:val="003A0913"/>
    <w:rsid w:val="003A4C6E"/>
    <w:rsid w:val="003A7DCF"/>
    <w:rsid w:val="003B0BF0"/>
    <w:rsid w:val="003B119C"/>
    <w:rsid w:val="003B136A"/>
    <w:rsid w:val="003B6CD2"/>
    <w:rsid w:val="003C2B8E"/>
    <w:rsid w:val="003C3233"/>
    <w:rsid w:val="003D13F0"/>
    <w:rsid w:val="003D2A90"/>
    <w:rsid w:val="003D5421"/>
    <w:rsid w:val="003E1C9B"/>
    <w:rsid w:val="003E4602"/>
    <w:rsid w:val="003E493D"/>
    <w:rsid w:val="003E6B17"/>
    <w:rsid w:val="003E6E36"/>
    <w:rsid w:val="003E7ABD"/>
    <w:rsid w:val="003E7E48"/>
    <w:rsid w:val="003F1249"/>
    <w:rsid w:val="003F1D35"/>
    <w:rsid w:val="003F7AE5"/>
    <w:rsid w:val="003F7DDE"/>
    <w:rsid w:val="004035D5"/>
    <w:rsid w:val="00404A11"/>
    <w:rsid w:val="00404E0B"/>
    <w:rsid w:val="00405C9B"/>
    <w:rsid w:val="00407420"/>
    <w:rsid w:val="00412DF2"/>
    <w:rsid w:val="00415DA6"/>
    <w:rsid w:val="004179DE"/>
    <w:rsid w:val="004227A3"/>
    <w:rsid w:val="004259BB"/>
    <w:rsid w:val="00425B45"/>
    <w:rsid w:val="00426EC0"/>
    <w:rsid w:val="00430033"/>
    <w:rsid w:val="0043053D"/>
    <w:rsid w:val="00431C38"/>
    <w:rsid w:val="00432B37"/>
    <w:rsid w:val="0043433F"/>
    <w:rsid w:val="004379BA"/>
    <w:rsid w:val="004423FB"/>
    <w:rsid w:val="00445E55"/>
    <w:rsid w:val="00446C9C"/>
    <w:rsid w:val="00461800"/>
    <w:rsid w:val="00462B58"/>
    <w:rsid w:val="00463332"/>
    <w:rsid w:val="00473105"/>
    <w:rsid w:val="0048000E"/>
    <w:rsid w:val="0048288F"/>
    <w:rsid w:val="00484251"/>
    <w:rsid w:val="004845AC"/>
    <w:rsid w:val="0048502A"/>
    <w:rsid w:val="00492A20"/>
    <w:rsid w:val="004954FA"/>
    <w:rsid w:val="004A027C"/>
    <w:rsid w:val="004A18C4"/>
    <w:rsid w:val="004A3AA8"/>
    <w:rsid w:val="004A5A07"/>
    <w:rsid w:val="004B12BF"/>
    <w:rsid w:val="004B32A2"/>
    <w:rsid w:val="004B46F7"/>
    <w:rsid w:val="004B52D2"/>
    <w:rsid w:val="004B545A"/>
    <w:rsid w:val="004B5D62"/>
    <w:rsid w:val="004B6453"/>
    <w:rsid w:val="004C0088"/>
    <w:rsid w:val="004C05E5"/>
    <w:rsid w:val="004C3C2B"/>
    <w:rsid w:val="004C4229"/>
    <w:rsid w:val="004C7819"/>
    <w:rsid w:val="004D0A37"/>
    <w:rsid w:val="004D0DE2"/>
    <w:rsid w:val="004D5364"/>
    <w:rsid w:val="004D63E4"/>
    <w:rsid w:val="004E1ACC"/>
    <w:rsid w:val="004E269E"/>
    <w:rsid w:val="004E5470"/>
    <w:rsid w:val="004F4D42"/>
    <w:rsid w:val="004F6DA6"/>
    <w:rsid w:val="004F7B38"/>
    <w:rsid w:val="00500287"/>
    <w:rsid w:val="00501E94"/>
    <w:rsid w:val="00502749"/>
    <w:rsid w:val="005029A0"/>
    <w:rsid w:val="00507E74"/>
    <w:rsid w:val="00511611"/>
    <w:rsid w:val="005214C1"/>
    <w:rsid w:val="0052229F"/>
    <w:rsid w:val="005241F3"/>
    <w:rsid w:val="0052432C"/>
    <w:rsid w:val="005256F3"/>
    <w:rsid w:val="00527622"/>
    <w:rsid w:val="00530772"/>
    <w:rsid w:val="00533E9E"/>
    <w:rsid w:val="005403D7"/>
    <w:rsid w:val="0054234B"/>
    <w:rsid w:val="00543E08"/>
    <w:rsid w:val="00545A3B"/>
    <w:rsid w:val="00547902"/>
    <w:rsid w:val="00551D80"/>
    <w:rsid w:val="005532B0"/>
    <w:rsid w:val="0055431B"/>
    <w:rsid w:val="0055580B"/>
    <w:rsid w:val="005611AB"/>
    <w:rsid w:val="00563ABE"/>
    <w:rsid w:val="00563B08"/>
    <w:rsid w:val="00564793"/>
    <w:rsid w:val="005648CA"/>
    <w:rsid w:val="0056535C"/>
    <w:rsid w:val="00567D13"/>
    <w:rsid w:val="00570F43"/>
    <w:rsid w:val="0057176D"/>
    <w:rsid w:val="00575C46"/>
    <w:rsid w:val="0057648A"/>
    <w:rsid w:val="005809CB"/>
    <w:rsid w:val="00581A7C"/>
    <w:rsid w:val="00582D4C"/>
    <w:rsid w:val="00585686"/>
    <w:rsid w:val="0058722D"/>
    <w:rsid w:val="00592E14"/>
    <w:rsid w:val="005A0EB1"/>
    <w:rsid w:val="005A5464"/>
    <w:rsid w:val="005A5C4F"/>
    <w:rsid w:val="005A5D1A"/>
    <w:rsid w:val="005A762A"/>
    <w:rsid w:val="005B37F7"/>
    <w:rsid w:val="005C08F3"/>
    <w:rsid w:val="005C2033"/>
    <w:rsid w:val="005C2261"/>
    <w:rsid w:val="005C450D"/>
    <w:rsid w:val="005C6A4D"/>
    <w:rsid w:val="005D41DB"/>
    <w:rsid w:val="005D779D"/>
    <w:rsid w:val="005E02FE"/>
    <w:rsid w:val="005E318F"/>
    <w:rsid w:val="005E66D4"/>
    <w:rsid w:val="005E7E7B"/>
    <w:rsid w:val="005F05FE"/>
    <w:rsid w:val="005F3B45"/>
    <w:rsid w:val="005F49E5"/>
    <w:rsid w:val="005F5965"/>
    <w:rsid w:val="005F5EF5"/>
    <w:rsid w:val="006006DF"/>
    <w:rsid w:val="006019A9"/>
    <w:rsid w:val="00602D66"/>
    <w:rsid w:val="006044FD"/>
    <w:rsid w:val="0060764A"/>
    <w:rsid w:val="00610B82"/>
    <w:rsid w:val="0061108A"/>
    <w:rsid w:val="00611AC8"/>
    <w:rsid w:val="00612C7D"/>
    <w:rsid w:val="00615CA2"/>
    <w:rsid w:val="00620CF4"/>
    <w:rsid w:val="00627721"/>
    <w:rsid w:val="00631625"/>
    <w:rsid w:val="0063254F"/>
    <w:rsid w:val="00633123"/>
    <w:rsid w:val="0063407E"/>
    <w:rsid w:val="00637C1C"/>
    <w:rsid w:val="00641423"/>
    <w:rsid w:val="00641989"/>
    <w:rsid w:val="0064464F"/>
    <w:rsid w:val="00646163"/>
    <w:rsid w:val="006472FA"/>
    <w:rsid w:val="00650503"/>
    <w:rsid w:val="00657FAE"/>
    <w:rsid w:val="006609BB"/>
    <w:rsid w:val="00665202"/>
    <w:rsid w:val="00665C7D"/>
    <w:rsid w:val="00666362"/>
    <w:rsid w:val="00667465"/>
    <w:rsid w:val="00670D88"/>
    <w:rsid w:val="006739DF"/>
    <w:rsid w:val="00673A6F"/>
    <w:rsid w:val="00675892"/>
    <w:rsid w:val="00676C0B"/>
    <w:rsid w:val="00680F24"/>
    <w:rsid w:val="00682657"/>
    <w:rsid w:val="00683986"/>
    <w:rsid w:val="006870E5"/>
    <w:rsid w:val="00687443"/>
    <w:rsid w:val="00690671"/>
    <w:rsid w:val="00691BBB"/>
    <w:rsid w:val="006929E9"/>
    <w:rsid w:val="00692B94"/>
    <w:rsid w:val="006A3126"/>
    <w:rsid w:val="006A774A"/>
    <w:rsid w:val="006B15E1"/>
    <w:rsid w:val="006B298E"/>
    <w:rsid w:val="006B35C5"/>
    <w:rsid w:val="006B50CF"/>
    <w:rsid w:val="006B7601"/>
    <w:rsid w:val="006C0055"/>
    <w:rsid w:val="006C04A1"/>
    <w:rsid w:val="006C4AFD"/>
    <w:rsid w:val="006C51C3"/>
    <w:rsid w:val="006C553F"/>
    <w:rsid w:val="006C6FA8"/>
    <w:rsid w:val="006C728A"/>
    <w:rsid w:val="006C79A5"/>
    <w:rsid w:val="006D4F99"/>
    <w:rsid w:val="006E6939"/>
    <w:rsid w:val="006F1482"/>
    <w:rsid w:val="006F5102"/>
    <w:rsid w:val="006F5A32"/>
    <w:rsid w:val="006F5BA6"/>
    <w:rsid w:val="006F5C50"/>
    <w:rsid w:val="006F759C"/>
    <w:rsid w:val="006F7F4F"/>
    <w:rsid w:val="007033CA"/>
    <w:rsid w:val="0070501B"/>
    <w:rsid w:val="00705295"/>
    <w:rsid w:val="007064CF"/>
    <w:rsid w:val="00711163"/>
    <w:rsid w:val="00712F95"/>
    <w:rsid w:val="007233AF"/>
    <w:rsid w:val="007258EB"/>
    <w:rsid w:val="00725ABE"/>
    <w:rsid w:val="0072738B"/>
    <w:rsid w:val="00731438"/>
    <w:rsid w:val="00733D1F"/>
    <w:rsid w:val="0073495D"/>
    <w:rsid w:val="00734C98"/>
    <w:rsid w:val="00736B94"/>
    <w:rsid w:val="00740129"/>
    <w:rsid w:val="00741C7D"/>
    <w:rsid w:val="00742C2A"/>
    <w:rsid w:val="007470A6"/>
    <w:rsid w:val="00747922"/>
    <w:rsid w:val="0075284E"/>
    <w:rsid w:val="007536D9"/>
    <w:rsid w:val="00755E07"/>
    <w:rsid w:val="00762F4E"/>
    <w:rsid w:val="00764B02"/>
    <w:rsid w:val="0076607F"/>
    <w:rsid w:val="00771C82"/>
    <w:rsid w:val="0077285D"/>
    <w:rsid w:val="007755FB"/>
    <w:rsid w:val="00776273"/>
    <w:rsid w:val="00782676"/>
    <w:rsid w:val="00782BBB"/>
    <w:rsid w:val="00783540"/>
    <w:rsid w:val="007858F8"/>
    <w:rsid w:val="0079324C"/>
    <w:rsid w:val="00794620"/>
    <w:rsid w:val="0079679B"/>
    <w:rsid w:val="00796AB2"/>
    <w:rsid w:val="0079766C"/>
    <w:rsid w:val="00797CAB"/>
    <w:rsid w:val="007A23EB"/>
    <w:rsid w:val="007A281A"/>
    <w:rsid w:val="007A330A"/>
    <w:rsid w:val="007A7690"/>
    <w:rsid w:val="007B1959"/>
    <w:rsid w:val="007B2DC6"/>
    <w:rsid w:val="007B7ABD"/>
    <w:rsid w:val="007C07EB"/>
    <w:rsid w:val="007C2AB0"/>
    <w:rsid w:val="007C3415"/>
    <w:rsid w:val="007C3B85"/>
    <w:rsid w:val="007D0E53"/>
    <w:rsid w:val="007D15FF"/>
    <w:rsid w:val="007D169F"/>
    <w:rsid w:val="007D1CE7"/>
    <w:rsid w:val="007D22EC"/>
    <w:rsid w:val="007D2D89"/>
    <w:rsid w:val="007D3B2B"/>
    <w:rsid w:val="007E2165"/>
    <w:rsid w:val="007E4737"/>
    <w:rsid w:val="007F121C"/>
    <w:rsid w:val="007F30A3"/>
    <w:rsid w:val="007F4502"/>
    <w:rsid w:val="007F7393"/>
    <w:rsid w:val="0080141E"/>
    <w:rsid w:val="00804DF0"/>
    <w:rsid w:val="00811046"/>
    <w:rsid w:val="00811088"/>
    <w:rsid w:val="00811A24"/>
    <w:rsid w:val="00814159"/>
    <w:rsid w:val="008144D6"/>
    <w:rsid w:val="00821671"/>
    <w:rsid w:val="008229C7"/>
    <w:rsid w:val="00824754"/>
    <w:rsid w:val="00827752"/>
    <w:rsid w:val="00833846"/>
    <w:rsid w:val="008401D5"/>
    <w:rsid w:val="00842D6A"/>
    <w:rsid w:val="00845629"/>
    <w:rsid w:val="008479ED"/>
    <w:rsid w:val="00850F8F"/>
    <w:rsid w:val="0085135D"/>
    <w:rsid w:val="008526DF"/>
    <w:rsid w:val="00853626"/>
    <w:rsid w:val="008566F0"/>
    <w:rsid w:val="008573AC"/>
    <w:rsid w:val="008610AD"/>
    <w:rsid w:val="008612A1"/>
    <w:rsid w:val="00862279"/>
    <w:rsid w:val="00867B65"/>
    <w:rsid w:val="008705AC"/>
    <w:rsid w:val="00873995"/>
    <w:rsid w:val="00874C9E"/>
    <w:rsid w:val="00875D5C"/>
    <w:rsid w:val="00880D3C"/>
    <w:rsid w:val="0088364D"/>
    <w:rsid w:val="0088676E"/>
    <w:rsid w:val="00892654"/>
    <w:rsid w:val="00893488"/>
    <w:rsid w:val="00894DF5"/>
    <w:rsid w:val="00895C37"/>
    <w:rsid w:val="00896C98"/>
    <w:rsid w:val="008A117A"/>
    <w:rsid w:val="008A2946"/>
    <w:rsid w:val="008A2AAC"/>
    <w:rsid w:val="008A55B4"/>
    <w:rsid w:val="008A5D35"/>
    <w:rsid w:val="008A5E7C"/>
    <w:rsid w:val="008A612B"/>
    <w:rsid w:val="008A6CCC"/>
    <w:rsid w:val="008B419D"/>
    <w:rsid w:val="008B72A4"/>
    <w:rsid w:val="008B7E90"/>
    <w:rsid w:val="008C0CD9"/>
    <w:rsid w:val="008C20BB"/>
    <w:rsid w:val="008C35B7"/>
    <w:rsid w:val="008C3611"/>
    <w:rsid w:val="008C3F49"/>
    <w:rsid w:val="008C442F"/>
    <w:rsid w:val="008C5087"/>
    <w:rsid w:val="008C70DF"/>
    <w:rsid w:val="008C7FD9"/>
    <w:rsid w:val="008D7449"/>
    <w:rsid w:val="008E139E"/>
    <w:rsid w:val="008E310A"/>
    <w:rsid w:val="008E3E8B"/>
    <w:rsid w:val="008E5539"/>
    <w:rsid w:val="008F004A"/>
    <w:rsid w:val="008F1275"/>
    <w:rsid w:val="008F2F37"/>
    <w:rsid w:val="008F5741"/>
    <w:rsid w:val="008F5BF0"/>
    <w:rsid w:val="008F639A"/>
    <w:rsid w:val="008F6B7A"/>
    <w:rsid w:val="008F6FC2"/>
    <w:rsid w:val="008F743B"/>
    <w:rsid w:val="00901C5D"/>
    <w:rsid w:val="0090305A"/>
    <w:rsid w:val="00905358"/>
    <w:rsid w:val="009114AA"/>
    <w:rsid w:val="00915ACE"/>
    <w:rsid w:val="009174E4"/>
    <w:rsid w:val="00917D43"/>
    <w:rsid w:val="009205B2"/>
    <w:rsid w:val="0092105F"/>
    <w:rsid w:val="00925096"/>
    <w:rsid w:val="009268FF"/>
    <w:rsid w:val="00927F7D"/>
    <w:rsid w:val="009312C6"/>
    <w:rsid w:val="00931C44"/>
    <w:rsid w:val="00931E9A"/>
    <w:rsid w:val="0093285B"/>
    <w:rsid w:val="00932F7E"/>
    <w:rsid w:val="00935A8D"/>
    <w:rsid w:val="00935EBC"/>
    <w:rsid w:val="00941428"/>
    <w:rsid w:val="009434E6"/>
    <w:rsid w:val="0094549D"/>
    <w:rsid w:val="00945746"/>
    <w:rsid w:val="00945CC8"/>
    <w:rsid w:val="009471E6"/>
    <w:rsid w:val="00951017"/>
    <w:rsid w:val="00951174"/>
    <w:rsid w:val="00954624"/>
    <w:rsid w:val="0095616E"/>
    <w:rsid w:val="00956436"/>
    <w:rsid w:val="00960D95"/>
    <w:rsid w:val="0096272D"/>
    <w:rsid w:val="00964221"/>
    <w:rsid w:val="00965496"/>
    <w:rsid w:val="009661FD"/>
    <w:rsid w:val="0097115F"/>
    <w:rsid w:val="009719B6"/>
    <w:rsid w:val="00975C36"/>
    <w:rsid w:val="009767FE"/>
    <w:rsid w:val="009775F4"/>
    <w:rsid w:val="00977832"/>
    <w:rsid w:val="00977B45"/>
    <w:rsid w:val="0098004C"/>
    <w:rsid w:val="00980910"/>
    <w:rsid w:val="00981345"/>
    <w:rsid w:val="009817F3"/>
    <w:rsid w:val="00984668"/>
    <w:rsid w:val="009873C8"/>
    <w:rsid w:val="009876B3"/>
    <w:rsid w:val="009918E4"/>
    <w:rsid w:val="00992D32"/>
    <w:rsid w:val="00993F93"/>
    <w:rsid w:val="009A1BD1"/>
    <w:rsid w:val="009B3F28"/>
    <w:rsid w:val="009B5BB3"/>
    <w:rsid w:val="009B6831"/>
    <w:rsid w:val="009B6BC9"/>
    <w:rsid w:val="009C5590"/>
    <w:rsid w:val="009C7428"/>
    <w:rsid w:val="009C791E"/>
    <w:rsid w:val="009D035B"/>
    <w:rsid w:val="009D2C4C"/>
    <w:rsid w:val="009D3C1C"/>
    <w:rsid w:val="009D65B0"/>
    <w:rsid w:val="009E3A06"/>
    <w:rsid w:val="009E73E6"/>
    <w:rsid w:val="009F0635"/>
    <w:rsid w:val="009F20F7"/>
    <w:rsid w:val="009F5845"/>
    <w:rsid w:val="009F744F"/>
    <w:rsid w:val="00A00146"/>
    <w:rsid w:val="00A0349D"/>
    <w:rsid w:val="00A04DF2"/>
    <w:rsid w:val="00A0601B"/>
    <w:rsid w:val="00A0611B"/>
    <w:rsid w:val="00A10890"/>
    <w:rsid w:val="00A160B0"/>
    <w:rsid w:val="00A267D1"/>
    <w:rsid w:val="00A26FAF"/>
    <w:rsid w:val="00A30D23"/>
    <w:rsid w:val="00A30FC9"/>
    <w:rsid w:val="00A310BD"/>
    <w:rsid w:val="00A32187"/>
    <w:rsid w:val="00A32EA4"/>
    <w:rsid w:val="00A34622"/>
    <w:rsid w:val="00A34BB5"/>
    <w:rsid w:val="00A377A9"/>
    <w:rsid w:val="00A4168E"/>
    <w:rsid w:val="00A44199"/>
    <w:rsid w:val="00A44793"/>
    <w:rsid w:val="00A46FCB"/>
    <w:rsid w:val="00A47D13"/>
    <w:rsid w:val="00A50119"/>
    <w:rsid w:val="00A52EAC"/>
    <w:rsid w:val="00A5427A"/>
    <w:rsid w:val="00A6185F"/>
    <w:rsid w:val="00A62F29"/>
    <w:rsid w:val="00A62FC0"/>
    <w:rsid w:val="00A6320E"/>
    <w:rsid w:val="00A6453D"/>
    <w:rsid w:val="00A66339"/>
    <w:rsid w:val="00A671B1"/>
    <w:rsid w:val="00A71BEE"/>
    <w:rsid w:val="00A72655"/>
    <w:rsid w:val="00A733DC"/>
    <w:rsid w:val="00A7548E"/>
    <w:rsid w:val="00A756F8"/>
    <w:rsid w:val="00A7639F"/>
    <w:rsid w:val="00A76474"/>
    <w:rsid w:val="00A7671C"/>
    <w:rsid w:val="00A82262"/>
    <w:rsid w:val="00A82CFF"/>
    <w:rsid w:val="00A8352B"/>
    <w:rsid w:val="00A83E2F"/>
    <w:rsid w:val="00A84E94"/>
    <w:rsid w:val="00A86B93"/>
    <w:rsid w:val="00A9082C"/>
    <w:rsid w:val="00A910E5"/>
    <w:rsid w:val="00A92B74"/>
    <w:rsid w:val="00A93438"/>
    <w:rsid w:val="00A94C05"/>
    <w:rsid w:val="00A97FCC"/>
    <w:rsid w:val="00AA0D97"/>
    <w:rsid w:val="00AA260F"/>
    <w:rsid w:val="00AA7511"/>
    <w:rsid w:val="00AB21BB"/>
    <w:rsid w:val="00AB6354"/>
    <w:rsid w:val="00AC0EDB"/>
    <w:rsid w:val="00AC1840"/>
    <w:rsid w:val="00AC59EF"/>
    <w:rsid w:val="00AC7A49"/>
    <w:rsid w:val="00AD1AFD"/>
    <w:rsid w:val="00AD3E05"/>
    <w:rsid w:val="00AD6358"/>
    <w:rsid w:val="00AD6B76"/>
    <w:rsid w:val="00AD72EF"/>
    <w:rsid w:val="00AE0B6E"/>
    <w:rsid w:val="00AE31D6"/>
    <w:rsid w:val="00AE41E2"/>
    <w:rsid w:val="00AF025E"/>
    <w:rsid w:val="00AF3ABD"/>
    <w:rsid w:val="00AF47B4"/>
    <w:rsid w:val="00AF66B3"/>
    <w:rsid w:val="00B012E5"/>
    <w:rsid w:val="00B04305"/>
    <w:rsid w:val="00B04333"/>
    <w:rsid w:val="00B05889"/>
    <w:rsid w:val="00B130CB"/>
    <w:rsid w:val="00B143D4"/>
    <w:rsid w:val="00B24377"/>
    <w:rsid w:val="00B2513D"/>
    <w:rsid w:val="00B25194"/>
    <w:rsid w:val="00B253C5"/>
    <w:rsid w:val="00B2707F"/>
    <w:rsid w:val="00B27C1B"/>
    <w:rsid w:val="00B3168E"/>
    <w:rsid w:val="00B36CEB"/>
    <w:rsid w:val="00B3726D"/>
    <w:rsid w:val="00B3762A"/>
    <w:rsid w:val="00B41D05"/>
    <w:rsid w:val="00B465B4"/>
    <w:rsid w:val="00B52D58"/>
    <w:rsid w:val="00B54960"/>
    <w:rsid w:val="00B55272"/>
    <w:rsid w:val="00B601DF"/>
    <w:rsid w:val="00B61BAB"/>
    <w:rsid w:val="00B64F9A"/>
    <w:rsid w:val="00B65991"/>
    <w:rsid w:val="00B65F4F"/>
    <w:rsid w:val="00B6786D"/>
    <w:rsid w:val="00B755A6"/>
    <w:rsid w:val="00B777B4"/>
    <w:rsid w:val="00B80172"/>
    <w:rsid w:val="00B82E05"/>
    <w:rsid w:val="00B84B80"/>
    <w:rsid w:val="00B86295"/>
    <w:rsid w:val="00BA07E4"/>
    <w:rsid w:val="00BA0E9A"/>
    <w:rsid w:val="00BA1589"/>
    <w:rsid w:val="00BA4CA9"/>
    <w:rsid w:val="00BA7070"/>
    <w:rsid w:val="00BB045D"/>
    <w:rsid w:val="00BB1CD8"/>
    <w:rsid w:val="00BB3063"/>
    <w:rsid w:val="00BB4C71"/>
    <w:rsid w:val="00BC0D9F"/>
    <w:rsid w:val="00BC281E"/>
    <w:rsid w:val="00BC523B"/>
    <w:rsid w:val="00BD178F"/>
    <w:rsid w:val="00BD1A70"/>
    <w:rsid w:val="00BD3755"/>
    <w:rsid w:val="00BD7FF0"/>
    <w:rsid w:val="00BE1A6D"/>
    <w:rsid w:val="00BE30B8"/>
    <w:rsid w:val="00BE3BD1"/>
    <w:rsid w:val="00BE51F6"/>
    <w:rsid w:val="00BF0C50"/>
    <w:rsid w:val="00BF3833"/>
    <w:rsid w:val="00BF43E0"/>
    <w:rsid w:val="00BF610B"/>
    <w:rsid w:val="00BF7807"/>
    <w:rsid w:val="00C02DD6"/>
    <w:rsid w:val="00C130AE"/>
    <w:rsid w:val="00C2045A"/>
    <w:rsid w:val="00C2580F"/>
    <w:rsid w:val="00C32DA7"/>
    <w:rsid w:val="00C34306"/>
    <w:rsid w:val="00C352F8"/>
    <w:rsid w:val="00C41BAA"/>
    <w:rsid w:val="00C42CB0"/>
    <w:rsid w:val="00C451D6"/>
    <w:rsid w:val="00C46E18"/>
    <w:rsid w:val="00C51205"/>
    <w:rsid w:val="00C56077"/>
    <w:rsid w:val="00C566BB"/>
    <w:rsid w:val="00C56CBF"/>
    <w:rsid w:val="00C603DB"/>
    <w:rsid w:val="00C60915"/>
    <w:rsid w:val="00C63BD8"/>
    <w:rsid w:val="00C643A3"/>
    <w:rsid w:val="00C643EE"/>
    <w:rsid w:val="00C662CF"/>
    <w:rsid w:val="00C732A8"/>
    <w:rsid w:val="00C80597"/>
    <w:rsid w:val="00C8317A"/>
    <w:rsid w:val="00C83FB2"/>
    <w:rsid w:val="00C854E6"/>
    <w:rsid w:val="00C85C9A"/>
    <w:rsid w:val="00C86134"/>
    <w:rsid w:val="00C86FF9"/>
    <w:rsid w:val="00C90B4A"/>
    <w:rsid w:val="00C92661"/>
    <w:rsid w:val="00C97583"/>
    <w:rsid w:val="00CA1EBD"/>
    <w:rsid w:val="00CA26A3"/>
    <w:rsid w:val="00CA3AA4"/>
    <w:rsid w:val="00CA459F"/>
    <w:rsid w:val="00CA4BB7"/>
    <w:rsid w:val="00CA5221"/>
    <w:rsid w:val="00CB3BD5"/>
    <w:rsid w:val="00CB43DF"/>
    <w:rsid w:val="00CB4500"/>
    <w:rsid w:val="00CB48B3"/>
    <w:rsid w:val="00CB497E"/>
    <w:rsid w:val="00CB4E4D"/>
    <w:rsid w:val="00CB6391"/>
    <w:rsid w:val="00CC0BA5"/>
    <w:rsid w:val="00CC5D5C"/>
    <w:rsid w:val="00CC78DF"/>
    <w:rsid w:val="00CC7900"/>
    <w:rsid w:val="00CD012D"/>
    <w:rsid w:val="00CE00FC"/>
    <w:rsid w:val="00CE029B"/>
    <w:rsid w:val="00CE51E3"/>
    <w:rsid w:val="00CF0212"/>
    <w:rsid w:val="00CF53F2"/>
    <w:rsid w:val="00CF5CD2"/>
    <w:rsid w:val="00D04636"/>
    <w:rsid w:val="00D05061"/>
    <w:rsid w:val="00D12BCB"/>
    <w:rsid w:val="00D145DF"/>
    <w:rsid w:val="00D14F2F"/>
    <w:rsid w:val="00D1667F"/>
    <w:rsid w:val="00D179E5"/>
    <w:rsid w:val="00D17D44"/>
    <w:rsid w:val="00D206F4"/>
    <w:rsid w:val="00D208B7"/>
    <w:rsid w:val="00D21F27"/>
    <w:rsid w:val="00D2625D"/>
    <w:rsid w:val="00D27836"/>
    <w:rsid w:val="00D3169C"/>
    <w:rsid w:val="00D3177C"/>
    <w:rsid w:val="00D34E39"/>
    <w:rsid w:val="00D40216"/>
    <w:rsid w:val="00D477E8"/>
    <w:rsid w:val="00D50409"/>
    <w:rsid w:val="00D50499"/>
    <w:rsid w:val="00D5172A"/>
    <w:rsid w:val="00D5249B"/>
    <w:rsid w:val="00D5288B"/>
    <w:rsid w:val="00D57D1B"/>
    <w:rsid w:val="00D608C7"/>
    <w:rsid w:val="00D67A1A"/>
    <w:rsid w:val="00D71EAC"/>
    <w:rsid w:val="00D736A0"/>
    <w:rsid w:val="00D739CC"/>
    <w:rsid w:val="00D73F13"/>
    <w:rsid w:val="00D77B0E"/>
    <w:rsid w:val="00D825A9"/>
    <w:rsid w:val="00D83883"/>
    <w:rsid w:val="00D84F7E"/>
    <w:rsid w:val="00D86DF4"/>
    <w:rsid w:val="00D96D35"/>
    <w:rsid w:val="00DA42C0"/>
    <w:rsid w:val="00DA4D71"/>
    <w:rsid w:val="00DA6679"/>
    <w:rsid w:val="00DB0823"/>
    <w:rsid w:val="00DB16BD"/>
    <w:rsid w:val="00DB7909"/>
    <w:rsid w:val="00DC1BC1"/>
    <w:rsid w:val="00DC7439"/>
    <w:rsid w:val="00DD46F9"/>
    <w:rsid w:val="00DD6FC1"/>
    <w:rsid w:val="00DE0286"/>
    <w:rsid w:val="00DE1F32"/>
    <w:rsid w:val="00DE3BCB"/>
    <w:rsid w:val="00DE5015"/>
    <w:rsid w:val="00DE7568"/>
    <w:rsid w:val="00DF064C"/>
    <w:rsid w:val="00DF2D7C"/>
    <w:rsid w:val="00DF5CAC"/>
    <w:rsid w:val="00DF6154"/>
    <w:rsid w:val="00E0135D"/>
    <w:rsid w:val="00E013BD"/>
    <w:rsid w:val="00E0237C"/>
    <w:rsid w:val="00E042EC"/>
    <w:rsid w:val="00E04591"/>
    <w:rsid w:val="00E04FD4"/>
    <w:rsid w:val="00E05A3E"/>
    <w:rsid w:val="00E106A4"/>
    <w:rsid w:val="00E121CD"/>
    <w:rsid w:val="00E1360D"/>
    <w:rsid w:val="00E154AE"/>
    <w:rsid w:val="00E2085D"/>
    <w:rsid w:val="00E20F72"/>
    <w:rsid w:val="00E2134C"/>
    <w:rsid w:val="00E23E8D"/>
    <w:rsid w:val="00E249A6"/>
    <w:rsid w:val="00E30D04"/>
    <w:rsid w:val="00E3226C"/>
    <w:rsid w:val="00E323B3"/>
    <w:rsid w:val="00E33909"/>
    <w:rsid w:val="00E40CF5"/>
    <w:rsid w:val="00E42273"/>
    <w:rsid w:val="00E47D18"/>
    <w:rsid w:val="00E51E3C"/>
    <w:rsid w:val="00E521EE"/>
    <w:rsid w:val="00E5455D"/>
    <w:rsid w:val="00E54A5C"/>
    <w:rsid w:val="00E55810"/>
    <w:rsid w:val="00E55E95"/>
    <w:rsid w:val="00E564E3"/>
    <w:rsid w:val="00E57FF1"/>
    <w:rsid w:val="00E60FE0"/>
    <w:rsid w:val="00E6274F"/>
    <w:rsid w:val="00E6334A"/>
    <w:rsid w:val="00E63892"/>
    <w:rsid w:val="00E66C64"/>
    <w:rsid w:val="00E73923"/>
    <w:rsid w:val="00E74724"/>
    <w:rsid w:val="00E86AF2"/>
    <w:rsid w:val="00E92EC2"/>
    <w:rsid w:val="00E932CF"/>
    <w:rsid w:val="00E96705"/>
    <w:rsid w:val="00EA1ADD"/>
    <w:rsid w:val="00EA253E"/>
    <w:rsid w:val="00EA348B"/>
    <w:rsid w:val="00EA4630"/>
    <w:rsid w:val="00EA6151"/>
    <w:rsid w:val="00EA6ACA"/>
    <w:rsid w:val="00EA720F"/>
    <w:rsid w:val="00EB2CDC"/>
    <w:rsid w:val="00EB33EA"/>
    <w:rsid w:val="00EB3430"/>
    <w:rsid w:val="00EB57EC"/>
    <w:rsid w:val="00EB638C"/>
    <w:rsid w:val="00EB64B6"/>
    <w:rsid w:val="00EB6F83"/>
    <w:rsid w:val="00EC1A40"/>
    <w:rsid w:val="00EC32A8"/>
    <w:rsid w:val="00EC45E4"/>
    <w:rsid w:val="00EC4ED8"/>
    <w:rsid w:val="00EC7B04"/>
    <w:rsid w:val="00ED0330"/>
    <w:rsid w:val="00ED2D1C"/>
    <w:rsid w:val="00ED323C"/>
    <w:rsid w:val="00ED4738"/>
    <w:rsid w:val="00ED75CB"/>
    <w:rsid w:val="00ED7E8D"/>
    <w:rsid w:val="00EE0C15"/>
    <w:rsid w:val="00EE1FD7"/>
    <w:rsid w:val="00EE255C"/>
    <w:rsid w:val="00EE567F"/>
    <w:rsid w:val="00EF1775"/>
    <w:rsid w:val="00EF5B4A"/>
    <w:rsid w:val="00F07680"/>
    <w:rsid w:val="00F1065A"/>
    <w:rsid w:val="00F11447"/>
    <w:rsid w:val="00F134D3"/>
    <w:rsid w:val="00F14AD4"/>
    <w:rsid w:val="00F16796"/>
    <w:rsid w:val="00F17532"/>
    <w:rsid w:val="00F20A90"/>
    <w:rsid w:val="00F21285"/>
    <w:rsid w:val="00F23727"/>
    <w:rsid w:val="00F23C50"/>
    <w:rsid w:val="00F464B0"/>
    <w:rsid w:val="00F5215A"/>
    <w:rsid w:val="00F5561C"/>
    <w:rsid w:val="00F6042C"/>
    <w:rsid w:val="00F62278"/>
    <w:rsid w:val="00F654F1"/>
    <w:rsid w:val="00F664D5"/>
    <w:rsid w:val="00F73D80"/>
    <w:rsid w:val="00F749D9"/>
    <w:rsid w:val="00F7712E"/>
    <w:rsid w:val="00F8260D"/>
    <w:rsid w:val="00F84DD9"/>
    <w:rsid w:val="00F879F4"/>
    <w:rsid w:val="00F93533"/>
    <w:rsid w:val="00F96348"/>
    <w:rsid w:val="00F976F5"/>
    <w:rsid w:val="00FA03AF"/>
    <w:rsid w:val="00FA0DEC"/>
    <w:rsid w:val="00FA1255"/>
    <w:rsid w:val="00FA1642"/>
    <w:rsid w:val="00FA27C8"/>
    <w:rsid w:val="00FA6F3D"/>
    <w:rsid w:val="00FA7559"/>
    <w:rsid w:val="00FB4BFA"/>
    <w:rsid w:val="00FB4E94"/>
    <w:rsid w:val="00FB5C77"/>
    <w:rsid w:val="00FC1791"/>
    <w:rsid w:val="00FC42C2"/>
    <w:rsid w:val="00FD2971"/>
    <w:rsid w:val="00FD2F87"/>
    <w:rsid w:val="00FD3317"/>
    <w:rsid w:val="00FD468C"/>
    <w:rsid w:val="00FD5CE9"/>
    <w:rsid w:val="00FD7CB5"/>
    <w:rsid w:val="00FE2FA4"/>
    <w:rsid w:val="00FE65E9"/>
    <w:rsid w:val="00FE78F7"/>
    <w:rsid w:val="00FF031B"/>
    <w:rsid w:val="00FF24FF"/>
    <w:rsid w:val="00FF2CC4"/>
    <w:rsid w:val="00FF4775"/>
    <w:rsid w:val="00FF5D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C5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F1C54"/>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1C5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1C54"/>
    <w:rPr>
      <w:rFonts w:ascii="Times New Roman" w:eastAsiaTheme="majorEastAsia" w:hAnsi="Times New Roman" w:cs="Times New Roman"/>
      <w:b/>
      <w:bCs/>
      <w:sz w:val="24"/>
      <w:szCs w:val="24"/>
      <w:lang w:eastAsia="it-IT"/>
    </w:rPr>
  </w:style>
  <w:style w:type="character" w:customStyle="1" w:styleId="Titolo2Carattere">
    <w:name w:val="Titolo 2 Carattere"/>
    <w:basedOn w:val="Carpredefinitoparagrafo"/>
    <w:link w:val="Titolo2"/>
    <w:uiPriority w:val="9"/>
    <w:rsid w:val="002F1C54"/>
    <w:rPr>
      <w:rFonts w:asciiTheme="majorHAnsi" w:eastAsiaTheme="majorEastAsia" w:hAnsiTheme="majorHAnsi" w:cstheme="majorBidi"/>
      <w:b/>
      <w:bCs/>
      <w:color w:val="4F81BD" w:themeColor="accent1"/>
      <w:sz w:val="26"/>
      <w:szCs w:val="26"/>
      <w:lang w:eastAsia="it-IT"/>
    </w:rPr>
  </w:style>
  <w:style w:type="paragraph" w:styleId="Testonotaapidipagina">
    <w:name w:val="footnote text"/>
    <w:basedOn w:val="Normale"/>
    <w:link w:val="TestonotaapidipaginaCarattere"/>
    <w:uiPriority w:val="99"/>
    <w:semiHidden/>
    <w:rsid w:val="002F1C54"/>
    <w:rPr>
      <w:sz w:val="20"/>
      <w:szCs w:val="20"/>
    </w:rPr>
  </w:style>
  <w:style w:type="character" w:customStyle="1" w:styleId="TestonotaapidipaginaCarattere">
    <w:name w:val="Testo nota a piè di pagina Carattere"/>
    <w:basedOn w:val="Carpredefinitoparagrafo"/>
    <w:link w:val="Testonotaapidipagina"/>
    <w:uiPriority w:val="99"/>
    <w:semiHidden/>
    <w:rsid w:val="002F1C5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2F1C54"/>
    <w:rPr>
      <w:vertAlign w:val="superscript"/>
    </w:rPr>
  </w:style>
  <w:style w:type="paragraph" w:styleId="Puntoelenco">
    <w:name w:val="List Bullet"/>
    <w:basedOn w:val="Normale"/>
    <w:rsid w:val="002F1C54"/>
    <w:pPr>
      <w:tabs>
        <w:tab w:val="num" w:pos="360"/>
      </w:tabs>
      <w:ind w:left="360" w:hanging="360"/>
      <w:contextualSpacing/>
    </w:pPr>
  </w:style>
  <w:style w:type="character" w:styleId="Rimandocommento">
    <w:name w:val="annotation reference"/>
    <w:basedOn w:val="Carpredefinitoparagrafo"/>
    <w:rsid w:val="002F1C54"/>
    <w:rPr>
      <w:sz w:val="16"/>
      <w:szCs w:val="16"/>
    </w:rPr>
  </w:style>
  <w:style w:type="paragraph" w:styleId="Testocommento">
    <w:name w:val="annotation text"/>
    <w:basedOn w:val="Normale"/>
    <w:link w:val="TestocommentoCarattere"/>
    <w:rsid w:val="002F1C54"/>
    <w:rPr>
      <w:sz w:val="20"/>
      <w:szCs w:val="20"/>
    </w:rPr>
  </w:style>
  <w:style w:type="character" w:customStyle="1" w:styleId="TestocommentoCarattere">
    <w:name w:val="Testo commento Carattere"/>
    <w:basedOn w:val="Carpredefinitoparagrafo"/>
    <w:link w:val="Testocommento"/>
    <w:rsid w:val="002F1C5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2F1C54"/>
    <w:rPr>
      <w:b/>
      <w:bCs/>
    </w:rPr>
  </w:style>
  <w:style w:type="character" w:customStyle="1" w:styleId="SoggettocommentoCarattere">
    <w:name w:val="Soggetto commento Carattere"/>
    <w:basedOn w:val="TestocommentoCarattere"/>
    <w:link w:val="Soggettocommento"/>
    <w:rsid w:val="002F1C5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rsid w:val="002F1C54"/>
    <w:rPr>
      <w:rFonts w:ascii="Tahoma" w:hAnsi="Tahoma" w:cs="Tahoma"/>
      <w:sz w:val="16"/>
      <w:szCs w:val="16"/>
    </w:rPr>
  </w:style>
  <w:style w:type="character" w:customStyle="1" w:styleId="TestofumettoCarattere">
    <w:name w:val="Testo fumetto Carattere"/>
    <w:basedOn w:val="Carpredefinitoparagrafo"/>
    <w:link w:val="Testofumetto"/>
    <w:uiPriority w:val="99"/>
    <w:rsid w:val="002F1C54"/>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F1C54"/>
    <w:rPr>
      <w:color w:val="0000FF"/>
      <w:u w:val="single"/>
    </w:rPr>
  </w:style>
  <w:style w:type="character" w:styleId="Collegamentovisitato">
    <w:name w:val="FollowedHyperlink"/>
    <w:basedOn w:val="Carpredefinitoparagrafo"/>
    <w:unhideWhenUsed/>
    <w:rsid w:val="002F1C54"/>
    <w:rPr>
      <w:color w:val="800080"/>
      <w:u w:val="single"/>
    </w:rPr>
  </w:style>
  <w:style w:type="paragraph" w:customStyle="1" w:styleId="xl65">
    <w:name w:val="xl65"/>
    <w:basedOn w:val="Normale"/>
    <w:rsid w:val="002F1C54"/>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2F1C54"/>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2F1C54"/>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2F1C54"/>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2F1C54"/>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2F1C54"/>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2F1C54"/>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2F1C54"/>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2F1C54"/>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2F1C54"/>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2F1C54"/>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2F1C54"/>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2F1C54"/>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2F1C54"/>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2F1C54"/>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2F1C54"/>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rsid w:val="002F1C54"/>
    <w:pPr>
      <w:tabs>
        <w:tab w:val="center" w:pos="4680"/>
        <w:tab w:val="right" w:pos="9360"/>
      </w:tabs>
    </w:pPr>
  </w:style>
  <w:style w:type="character" w:customStyle="1" w:styleId="IntestazioneCarattere">
    <w:name w:val="Intestazione Carattere"/>
    <w:basedOn w:val="Carpredefinitoparagrafo"/>
    <w:link w:val="Intestazione"/>
    <w:rsid w:val="002F1C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2F1C54"/>
    <w:pPr>
      <w:tabs>
        <w:tab w:val="center" w:pos="4680"/>
        <w:tab w:val="right" w:pos="9360"/>
      </w:tabs>
    </w:pPr>
  </w:style>
  <w:style w:type="character" w:customStyle="1" w:styleId="PidipaginaCarattere">
    <w:name w:val="Piè di pagina Carattere"/>
    <w:basedOn w:val="Carpredefinitoparagrafo"/>
    <w:link w:val="Pidipagina"/>
    <w:uiPriority w:val="99"/>
    <w:rsid w:val="002F1C5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F1C54"/>
    <w:pPr>
      <w:ind w:left="720"/>
      <w:contextualSpacing/>
    </w:pPr>
  </w:style>
  <w:style w:type="paragraph" w:customStyle="1" w:styleId="titoloparagrafo">
    <w:name w:val="titolo paragrafo"/>
    <w:basedOn w:val="Normale"/>
    <w:qFormat/>
    <w:rsid w:val="002F1C54"/>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1C54"/>
    <w:pPr>
      <w:spacing w:after="0" w:line="240" w:lineRule="auto"/>
    </w:pPr>
    <w:rPr>
      <w:rFonts w:eastAsiaTheme="minorEastAsia"/>
      <w:lang w:eastAsia="it-IT"/>
    </w:rPr>
  </w:style>
  <w:style w:type="paragraph" w:styleId="Titolosommario">
    <w:name w:val="TOC Heading"/>
    <w:basedOn w:val="Titolo1"/>
    <w:next w:val="Normale"/>
    <w:uiPriority w:val="39"/>
    <w:unhideWhenUsed/>
    <w:qFormat/>
    <w:rsid w:val="002F1C54"/>
    <w:pPr>
      <w:outlineLvl w:val="9"/>
    </w:pPr>
  </w:style>
  <w:style w:type="paragraph" w:customStyle="1" w:styleId="Default">
    <w:name w:val="Default"/>
    <w:rsid w:val="002F1C54"/>
    <w:pPr>
      <w:autoSpaceDE w:val="0"/>
      <w:autoSpaceDN w:val="0"/>
      <w:adjustRightInd w:val="0"/>
      <w:spacing w:after="0" w:line="240" w:lineRule="auto"/>
    </w:pPr>
    <w:rPr>
      <w:rFonts w:ascii="Perpetua" w:hAnsi="Perpetua" w:cs="Perpetua"/>
      <w:color w:val="000000"/>
      <w:sz w:val="24"/>
      <w:szCs w:val="24"/>
    </w:rPr>
  </w:style>
  <w:style w:type="paragraph" w:styleId="Sommario1">
    <w:name w:val="toc 1"/>
    <w:basedOn w:val="Normale"/>
    <w:next w:val="Normale"/>
    <w:autoRedefine/>
    <w:uiPriority w:val="39"/>
    <w:unhideWhenUsed/>
    <w:qFormat/>
    <w:rsid w:val="002F1C54"/>
    <w:pPr>
      <w:spacing w:after="100" w:line="276" w:lineRule="auto"/>
    </w:pPr>
    <w:rPr>
      <w:rFonts w:asciiTheme="minorHAnsi" w:eastAsiaTheme="minorEastAsia" w:hAnsiTheme="minorHAnsi" w:cstheme="minorBidi"/>
      <w:sz w:val="22"/>
      <w:szCs w:val="22"/>
    </w:rPr>
  </w:style>
  <w:style w:type="paragraph" w:styleId="NormaleWeb">
    <w:name w:val="Normal (Web)"/>
    <w:basedOn w:val="Normale"/>
    <w:uiPriority w:val="99"/>
    <w:unhideWhenUsed/>
    <w:rsid w:val="002F1C54"/>
    <w:pPr>
      <w:spacing w:before="100" w:beforeAutospacing="1" w:after="119"/>
    </w:pPr>
  </w:style>
  <w:style w:type="character" w:customStyle="1" w:styleId="current">
    <w:name w:val="current"/>
    <w:basedOn w:val="Carpredefinitoparagrafo"/>
    <w:rsid w:val="002F1C54"/>
  </w:style>
  <w:style w:type="character" w:styleId="Enfasicorsivo">
    <w:name w:val="Emphasis"/>
    <w:qFormat/>
    <w:rsid w:val="002F1C54"/>
    <w:rPr>
      <w:i/>
      <w:iCs/>
    </w:rPr>
  </w:style>
  <w:style w:type="paragraph" w:styleId="Titolo">
    <w:name w:val="Title"/>
    <w:basedOn w:val="Normale"/>
    <w:next w:val="Normale"/>
    <w:link w:val="TitoloCarattere"/>
    <w:qFormat/>
    <w:rsid w:val="002F1C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2F1C54"/>
    <w:rPr>
      <w:rFonts w:asciiTheme="majorHAnsi" w:eastAsiaTheme="majorEastAsia" w:hAnsiTheme="majorHAnsi" w:cstheme="majorBidi"/>
      <w:color w:val="17365D" w:themeColor="text2" w:themeShade="BF"/>
      <w:spacing w:val="5"/>
      <w:kern w:val="28"/>
      <w:sz w:val="52"/>
      <w:szCs w:val="52"/>
      <w:lang w:eastAsia="it-IT"/>
    </w:rPr>
  </w:style>
  <w:style w:type="paragraph" w:styleId="Sommario2">
    <w:name w:val="toc 2"/>
    <w:basedOn w:val="Normale"/>
    <w:next w:val="Normale"/>
    <w:autoRedefine/>
    <w:uiPriority w:val="39"/>
    <w:unhideWhenUsed/>
    <w:qFormat/>
    <w:rsid w:val="002F1C54"/>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2F1C54"/>
    <w:pPr>
      <w:spacing w:after="100" w:line="276" w:lineRule="auto"/>
      <w:ind w:left="440"/>
    </w:pPr>
    <w:rPr>
      <w:rFonts w:asciiTheme="minorHAnsi" w:eastAsiaTheme="minorEastAsia" w:hAnsiTheme="minorHAnsi" w:cstheme="minorBidi"/>
      <w:sz w:val="22"/>
      <w:szCs w:val="22"/>
    </w:rPr>
  </w:style>
  <w:style w:type="character" w:customStyle="1" w:styleId="Corpodeltesto3Carattere">
    <w:name w:val="Corpo del testo 3 Carattere"/>
    <w:basedOn w:val="Carpredefinitoparagrafo"/>
    <w:link w:val="Corpodeltesto3"/>
    <w:rsid w:val="002F1C54"/>
    <w:rPr>
      <w:rFonts w:ascii="Garamond" w:hAnsi="Garamond"/>
      <w:b/>
      <w:bCs/>
      <w:sz w:val="24"/>
      <w:szCs w:val="24"/>
      <w:lang w:eastAsia="ar-SA"/>
    </w:rPr>
  </w:style>
  <w:style w:type="paragraph" w:styleId="Corpodeltesto3">
    <w:name w:val="Body Text 3"/>
    <w:basedOn w:val="Normale"/>
    <w:link w:val="Corpodeltesto3Carattere"/>
    <w:rsid w:val="002F1C54"/>
    <w:pPr>
      <w:suppressAutoHyphens/>
      <w:jc w:val="both"/>
    </w:pPr>
    <w:rPr>
      <w:rFonts w:ascii="Garamond" w:eastAsiaTheme="minorHAnsi" w:hAnsi="Garamond" w:cstheme="minorBidi"/>
      <w:b/>
      <w:bCs/>
      <w:lang w:eastAsia="ar-SA"/>
    </w:rPr>
  </w:style>
  <w:style w:type="character" w:customStyle="1" w:styleId="Corpodeltesto3Carattere1">
    <w:name w:val="Corpo del testo 3 Carattere1"/>
    <w:basedOn w:val="Carpredefinitoparagrafo"/>
    <w:uiPriority w:val="99"/>
    <w:rsid w:val="002F1C54"/>
    <w:rPr>
      <w:rFonts w:ascii="Times New Roman" w:eastAsia="Times New Roman" w:hAnsi="Times New Roman" w:cs="Times New Roman"/>
      <w:sz w:val="16"/>
      <w:szCs w:val="16"/>
      <w:lang w:eastAsia="it-IT"/>
    </w:rPr>
  </w:style>
  <w:style w:type="character" w:customStyle="1" w:styleId="Corpodeltesto2Carattere">
    <w:name w:val="Corpo del testo 2 Carattere"/>
    <w:basedOn w:val="Carpredefinitoparagrafo"/>
    <w:link w:val="Corpodeltesto2"/>
    <w:rsid w:val="002F1C54"/>
    <w:rPr>
      <w:rFonts w:ascii="Garamond" w:hAnsi="Garamond" w:cs="Arial"/>
      <w:color w:val="FF0000"/>
      <w:sz w:val="24"/>
      <w:szCs w:val="24"/>
      <w:lang w:eastAsia="ar-SA"/>
    </w:rPr>
  </w:style>
  <w:style w:type="paragraph" w:styleId="Corpodeltesto2">
    <w:name w:val="Body Text 2"/>
    <w:basedOn w:val="Normale"/>
    <w:link w:val="Corpodeltesto2Carattere"/>
    <w:rsid w:val="002F1C54"/>
    <w:pPr>
      <w:suppressAutoHyphens/>
      <w:jc w:val="both"/>
    </w:pPr>
    <w:rPr>
      <w:rFonts w:ascii="Garamond" w:eastAsiaTheme="minorHAnsi" w:hAnsi="Garamond" w:cs="Arial"/>
      <w:color w:val="FF0000"/>
      <w:lang w:eastAsia="ar-SA"/>
    </w:rPr>
  </w:style>
  <w:style w:type="character" w:customStyle="1" w:styleId="Corpodeltesto2Carattere1">
    <w:name w:val="Corpo del testo 2 Carattere1"/>
    <w:basedOn w:val="Carpredefinitoparagrafo"/>
    <w:uiPriority w:val="99"/>
    <w:rsid w:val="002F1C54"/>
    <w:rPr>
      <w:rFonts w:ascii="Times New Roman" w:eastAsia="Times New Roman" w:hAnsi="Times New Roman" w:cs="Times New Roman"/>
      <w:sz w:val="24"/>
      <w:szCs w:val="24"/>
      <w:lang w:eastAsia="it-IT"/>
    </w:rPr>
  </w:style>
  <w:style w:type="paragraph" w:styleId="Didascalia">
    <w:name w:val="caption"/>
    <w:basedOn w:val="Normale"/>
    <w:next w:val="Normale"/>
    <w:qFormat/>
    <w:rsid w:val="002F1C54"/>
    <w:pPr>
      <w:widowControl w:val="0"/>
      <w:suppressAutoHyphens/>
    </w:pPr>
    <w:rPr>
      <w:rFonts w:eastAsia="Arial Unicode MS"/>
      <w:b/>
      <w:bCs/>
      <w:kern w:val="1"/>
      <w:sz w:val="20"/>
      <w:szCs w:val="20"/>
    </w:rPr>
  </w:style>
  <w:style w:type="paragraph" w:styleId="Corpodeltesto">
    <w:name w:val="Body Text"/>
    <w:basedOn w:val="Normale"/>
    <w:link w:val="CorpodeltestoCarattere"/>
    <w:rsid w:val="002F1C54"/>
    <w:pPr>
      <w:spacing w:line="360" w:lineRule="auto"/>
      <w:jc w:val="both"/>
    </w:pPr>
    <w:rPr>
      <w:rFonts w:ascii="Garamond" w:hAnsi="Garamond"/>
    </w:rPr>
  </w:style>
  <w:style w:type="character" w:customStyle="1" w:styleId="CorpodeltestoCarattere">
    <w:name w:val="Corpo del testo Carattere"/>
    <w:basedOn w:val="Carpredefinitoparagrafo"/>
    <w:link w:val="Corpodeltesto"/>
    <w:rsid w:val="002F1C54"/>
    <w:rPr>
      <w:rFonts w:ascii="Garamond" w:eastAsia="Times New Roman" w:hAnsi="Garamond" w:cs="Times New Roman"/>
      <w:sz w:val="24"/>
      <w:szCs w:val="24"/>
      <w:lang w:eastAsia="it-IT"/>
    </w:rPr>
  </w:style>
  <w:style w:type="character" w:styleId="Enfasigrassetto">
    <w:name w:val="Strong"/>
    <w:basedOn w:val="Carpredefinitoparagrafo"/>
    <w:uiPriority w:val="22"/>
    <w:qFormat/>
    <w:rsid w:val="002F1C54"/>
    <w:rPr>
      <w:b/>
      <w:bCs/>
    </w:rPr>
  </w:style>
  <w:style w:type="character" w:customStyle="1" w:styleId="tnn">
    <w:name w:val="tnn"/>
    <w:basedOn w:val="Carpredefinitoparagrafo"/>
    <w:rsid w:val="002F1C54"/>
  </w:style>
  <w:style w:type="paragraph" w:customStyle="1" w:styleId="ecxmsonormal">
    <w:name w:val="ecxmsonormal"/>
    <w:basedOn w:val="Normale"/>
    <w:rsid w:val="002F1C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1C5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F1C54"/>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1C5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1C54"/>
    <w:rPr>
      <w:rFonts w:ascii="Times New Roman" w:eastAsiaTheme="majorEastAsia" w:hAnsi="Times New Roman" w:cs="Times New Roman"/>
      <w:b/>
      <w:bCs/>
      <w:sz w:val="24"/>
      <w:szCs w:val="24"/>
      <w:lang w:eastAsia="it-IT"/>
    </w:rPr>
  </w:style>
  <w:style w:type="character" w:customStyle="1" w:styleId="Titolo2Carattere">
    <w:name w:val="Titolo 2 Carattere"/>
    <w:basedOn w:val="Carpredefinitoparagrafo"/>
    <w:link w:val="Titolo2"/>
    <w:uiPriority w:val="9"/>
    <w:rsid w:val="002F1C54"/>
    <w:rPr>
      <w:rFonts w:asciiTheme="majorHAnsi" w:eastAsiaTheme="majorEastAsia" w:hAnsiTheme="majorHAnsi" w:cstheme="majorBidi"/>
      <w:b/>
      <w:bCs/>
      <w:color w:val="4F81BD" w:themeColor="accent1"/>
      <w:sz w:val="26"/>
      <w:szCs w:val="26"/>
      <w:lang w:eastAsia="it-IT"/>
    </w:rPr>
  </w:style>
  <w:style w:type="paragraph" w:styleId="Testonotaapidipagina">
    <w:name w:val="footnote text"/>
    <w:basedOn w:val="Normale"/>
    <w:link w:val="TestonotaapidipaginaCarattere"/>
    <w:uiPriority w:val="99"/>
    <w:semiHidden/>
    <w:rsid w:val="002F1C54"/>
    <w:rPr>
      <w:sz w:val="20"/>
      <w:szCs w:val="20"/>
    </w:rPr>
  </w:style>
  <w:style w:type="character" w:customStyle="1" w:styleId="TestonotaapidipaginaCarattere">
    <w:name w:val="Testo nota a piè di pagina Carattere"/>
    <w:basedOn w:val="Carpredefinitoparagrafo"/>
    <w:link w:val="Testonotaapidipagina"/>
    <w:uiPriority w:val="99"/>
    <w:semiHidden/>
    <w:rsid w:val="002F1C5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2F1C54"/>
    <w:rPr>
      <w:vertAlign w:val="superscript"/>
    </w:rPr>
  </w:style>
  <w:style w:type="paragraph" w:styleId="Puntoelenco">
    <w:name w:val="List Bullet"/>
    <w:basedOn w:val="Normale"/>
    <w:rsid w:val="002F1C54"/>
    <w:pPr>
      <w:tabs>
        <w:tab w:val="num" w:pos="360"/>
      </w:tabs>
      <w:ind w:left="360" w:hanging="360"/>
      <w:contextualSpacing/>
    </w:pPr>
  </w:style>
  <w:style w:type="character" w:styleId="Rimandocommento">
    <w:name w:val="annotation reference"/>
    <w:basedOn w:val="Carpredefinitoparagrafo"/>
    <w:rsid w:val="002F1C54"/>
    <w:rPr>
      <w:sz w:val="16"/>
      <w:szCs w:val="16"/>
    </w:rPr>
  </w:style>
  <w:style w:type="paragraph" w:styleId="Testocommento">
    <w:name w:val="annotation text"/>
    <w:basedOn w:val="Normale"/>
    <w:link w:val="TestocommentoCarattere"/>
    <w:rsid w:val="002F1C54"/>
    <w:rPr>
      <w:sz w:val="20"/>
      <w:szCs w:val="20"/>
    </w:rPr>
  </w:style>
  <w:style w:type="character" w:customStyle="1" w:styleId="TestocommentoCarattere">
    <w:name w:val="Testo commento Carattere"/>
    <w:basedOn w:val="Carpredefinitoparagrafo"/>
    <w:link w:val="Testocommento"/>
    <w:rsid w:val="002F1C5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2F1C54"/>
    <w:rPr>
      <w:b/>
      <w:bCs/>
    </w:rPr>
  </w:style>
  <w:style w:type="character" w:customStyle="1" w:styleId="SoggettocommentoCarattere">
    <w:name w:val="Soggetto commento Carattere"/>
    <w:basedOn w:val="TestocommentoCarattere"/>
    <w:link w:val="Soggettocommento"/>
    <w:rsid w:val="002F1C5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rsid w:val="002F1C54"/>
    <w:rPr>
      <w:rFonts w:ascii="Tahoma" w:hAnsi="Tahoma" w:cs="Tahoma"/>
      <w:sz w:val="16"/>
      <w:szCs w:val="16"/>
    </w:rPr>
  </w:style>
  <w:style w:type="character" w:customStyle="1" w:styleId="TestofumettoCarattere">
    <w:name w:val="Testo fumetto Carattere"/>
    <w:basedOn w:val="Carpredefinitoparagrafo"/>
    <w:link w:val="Testofumetto"/>
    <w:uiPriority w:val="99"/>
    <w:rsid w:val="002F1C54"/>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F1C54"/>
    <w:rPr>
      <w:color w:val="0000FF"/>
      <w:u w:val="single"/>
    </w:rPr>
  </w:style>
  <w:style w:type="character" w:styleId="Collegamentovisitato">
    <w:name w:val="FollowedHyperlink"/>
    <w:basedOn w:val="Carpredefinitoparagrafo"/>
    <w:unhideWhenUsed/>
    <w:rsid w:val="002F1C54"/>
    <w:rPr>
      <w:color w:val="800080"/>
      <w:u w:val="single"/>
    </w:rPr>
  </w:style>
  <w:style w:type="paragraph" w:customStyle="1" w:styleId="xl65">
    <w:name w:val="xl65"/>
    <w:basedOn w:val="Normale"/>
    <w:rsid w:val="002F1C54"/>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2F1C54"/>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2F1C54"/>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2F1C54"/>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2F1C54"/>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2F1C54"/>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2F1C54"/>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2F1C54"/>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2F1C54"/>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2F1C54"/>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2F1C54"/>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2F1C54"/>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2F1C54"/>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2F1C54"/>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2F1C54"/>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2F1C54"/>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rsid w:val="002F1C54"/>
    <w:pPr>
      <w:tabs>
        <w:tab w:val="center" w:pos="4680"/>
        <w:tab w:val="right" w:pos="9360"/>
      </w:tabs>
    </w:pPr>
  </w:style>
  <w:style w:type="character" w:customStyle="1" w:styleId="IntestazioneCarattere">
    <w:name w:val="Intestazione Carattere"/>
    <w:basedOn w:val="Carpredefinitoparagrafo"/>
    <w:link w:val="Intestazione"/>
    <w:rsid w:val="002F1C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2F1C54"/>
    <w:pPr>
      <w:tabs>
        <w:tab w:val="center" w:pos="4680"/>
        <w:tab w:val="right" w:pos="9360"/>
      </w:tabs>
    </w:pPr>
  </w:style>
  <w:style w:type="character" w:customStyle="1" w:styleId="PidipaginaCarattere">
    <w:name w:val="Piè di pagina Carattere"/>
    <w:basedOn w:val="Carpredefinitoparagrafo"/>
    <w:link w:val="Pidipagina"/>
    <w:uiPriority w:val="99"/>
    <w:rsid w:val="002F1C5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F1C54"/>
    <w:pPr>
      <w:ind w:left="720"/>
      <w:contextualSpacing/>
    </w:pPr>
  </w:style>
  <w:style w:type="paragraph" w:customStyle="1" w:styleId="titoloparagrafo">
    <w:name w:val="titolo paragrafo"/>
    <w:basedOn w:val="Normale"/>
    <w:qFormat/>
    <w:rsid w:val="002F1C54"/>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1C54"/>
    <w:pPr>
      <w:spacing w:after="0" w:line="240" w:lineRule="auto"/>
    </w:pPr>
    <w:rPr>
      <w:rFonts w:eastAsiaTheme="minorEastAsia"/>
      <w:lang w:eastAsia="it-IT"/>
    </w:rPr>
  </w:style>
  <w:style w:type="paragraph" w:styleId="Titolosommario">
    <w:name w:val="TOC Heading"/>
    <w:basedOn w:val="Titolo1"/>
    <w:next w:val="Normale"/>
    <w:uiPriority w:val="39"/>
    <w:unhideWhenUsed/>
    <w:qFormat/>
    <w:rsid w:val="002F1C54"/>
    <w:pPr>
      <w:outlineLvl w:val="9"/>
    </w:pPr>
  </w:style>
  <w:style w:type="paragraph" w:customStyle="1" w:styleId="Default">
    <w:name w:val="Default"/>
    <w:rsid w:val="002F1C54"/>
    <w:pPr>
      <w:autoSpaceDE w:val="0"/>
      <w:autoSpaceDN w:val="0"/>
      <w:adjustRightInd w:val="0"/>
      <w:spacing w:after="0" w:line="240" w:lineRule="auto"/>
    </w:pPr>
    <w:rPr>
      <w:rFonts w:ascii="Perpetua" w:hAnsi="Perpetua" w:cs="Perpetua"/>
      <w:color w:val="000000"/>
      <w:sz w:val="24"/>
      <w:szCs w:val="24"/>
    </w:rPr>
  </w:style>
  <w:style w:type="paragraph" w:styleId="Sommario1">
    <w:name w:val="toc 1"/>
    <w:basedOn w:val="Normale"/>
    <w:next w:val="Normale"/>
    <w:autoRedefine/>
    <w:uiPriority w:val="39"/>
    <w:unhideWhenUsed/>
    <w:qFormat/>
    <w:rsid w:val="002F1C54"/>
    <w:pPr>
      <w:spacing w:after="100" w:line="276" w:lineRule="auto"/>
    </w:pPr>
    <w:rPr>
      <w:rFonts w:asciiTheme="minorHAnsi" w:eastAsiaTheme="minorEastAsia" w:hAnsiTheme="minorHAnsi" w:cstheme="minorBidi"/>
      <w:sz w:val="22"/>
      <w:szCs w:val="22"/>
    </w:rPr>
  </w:style>
  <w:style w:type="paragraph" w:styleId="NormaleWeb">
    <w:name w:val="Normal (Web)"/>
    <w:basedOn w:val="Normale"/>
    <w:uiPriority w:val="99"/>
    <w:unhideWhenUsed/>
    <w:rsid w:val="002F1C54"/>
    <w:pPr>
      <w:spacing w:before="100" w:beforeAutospacing="1" w:after="119"/>
    </w:pPr>
  </w:style>
  <w:style w:type="character" w:customStyle="1" w:styleId="current">
    <w:name w:val="current"/>
    <w:basedOn w:val="Carpredefinitoparagrafo"/>
    <w:rsid w:val="002F1C54"/>
  </w:style>
  <w:style w:type="character" w:styleId="Enfasicorsivo">
    <w:name w:val="Emphasis"/>
    <w:qFormat/>
    <w:rsid w:val="002F1C54"/>
    <w:rPr>
      <w:i/>
      <w:iCs/>
    </w:rPr>
  </w:style>
  <w:style w:type="paragraph" w:styleId="Titolo">
    <w:name w:val="Title"/>
    <w:basedOn w:val="Normale"/>
    <w:next w:val="Normale"/>
    <w:link w:val="TitoloCarattere"/>
    <w:qFormat/>
    <w:rsid w:val="002F1C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2F1C54"/>
    <w:rPr>
      <w:rFonts w:asciiTheme="majorHAnsi" w:eastAsiaTheme="majorEastAsia" w:hAnsiTheme="majorHAnsi" w:cstheme="majorBidi"/>
      <w:color w:val="17365D" w:themeColor="text2" w:themeShade="BF"/>
      <w:spacing w:val="5"/>
      <w:kern w:val="28"/>
      <w:sz w:val="52"/>
      <w:szCs w:val="52"/>
      <w:lang w:eastAsia="it-IT"/>
    </w:rPr>
  </w:style>
  <w:style w:type="paragraph" w:styleId="Sommario2">
    <w:name w:val="toc 2"/>
    <w:basedOn w:val="Normale"/>
    <w:next w:val="Normale"/>
    <w:autoRedefine/>
    <w:uiPriority w:val="39"/>
    <w:unhideWhenUsed/>
    <w:qFormat/>
    <w:rsid w:val="002F1C54"/>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2F1C54"/>
    <w:pPr>
      <w:spacing w:after="100" w:line="276" w:lineRule="auto"/>
      <w:ind w:left="440"/>
    </w:pPr>
    <w:rPr>
      <w:rFonts w:asciiTheme="minorHAnsi" w:eastAsiaTheme="minorEastAsia" w:hAnsiTheme="minorHAnsi" w:cstheme="minorBidi"/>
      <w:sz w:val="22"/>
      <w:szCs w:val="22"/>
    </w:rPr>
  </w:style>
  <w:style w:type="character" w:customStyle="1" w:styleId="Corpodeltesto3Carattere">
    <w:name w:val="Corpo del testo 3 Carattere"/>
    <w:basedOn w:val="Carpredefinitoparagrafo"/>
    <w:link w:val="Corpodeltesto3"/>
    <w:rsid w:val="002F1C54"/>
    <w:rPr>
      <w:rFonts w:ascii="Garamond" w:hAnsi="Garamond"/>
      <w:b/>
      <w:bCs/>
      <w:sz w:val="24"/>
      <w:szCs w:val="24"/>
      <w:lang w:eastAsia="ar-SA"/>
    </w:rPr>
  </w:style>
  <w:style w:type="paragraph" w:styleId="Corpodeltesto3">
    <w:name w:val="Body Text 3"/>
    <w:basedOn w:val="Normale"/>
    <w:link w:val="Corpodeltesto3Carattere"/>
    <w:rsid w:val="002F1C54"/>
    <w:pPr>
      <w:suppressAutoHyphens/>
      <w:jc w:val="both"/>
    </w:pPr>
    <w:rPr>
      <w:rFonts w:ascii="Garamond" w:eastAsiaTheme="minorHAnsi" w:hAnsi="Garamond" w:cstheme="minorBidi"/>
      <w:b/>
      <w:bCs/>
      <w:lang w:eastAsia="ar-SA"/>
    </w:rPr>
  </w:style>
  <w:style w:type="character" w:customStyle="1" w:styleId="Corpodeltesto3Carattere1">
    <w:name w:val="Corpo del testo 3 Carattere1"/>
    <w:basedOn w:val="Carpredefinitoparagrafo"/>
    <w:uiPriority w:val="99"/>
    <w:rsid w:val="002F1C54"/>
    <w:rPr>
      <w:rFonts w:ascii="Times New Roman" w:eastAsia="Times New Roman" w:hAnsi="Times New Roman" w:cs="Times New Roman"/>
      <w:sz w:val="16"/>
      <w:szCs w:val="16"/>
      <w:lang w:eastAsia="it-IT"/>
    </w:rPr>
  </w:style>
  <w:style w:type="character" w:customStyle="1" w:styleId="Corpodeltesto2Carattere">
    <w:name w:val="Corpo del testo 2 Carattere"/>
    <w:basedOn w:val="Carpredefinitoparagrafo"/>
    <w:link w:val="Corpodeltesto2"/>
    <w:rsid w:val="002F1C54"/>
    <w:rPr>
      <w:rFonts w:ascii="Garamond" w:hAnsi="Garamond" w:cs="Arial"/>
      <w:color w:val="FF0000"/>
      <w:sz w:val="24"/>
      <w:szCs w:val="24"/>
      <w:lang w:eastAsia="ar-SA"/>
    </w:rPr>
  </w:style>
  <w:style w:type="paragraph" w:styleId="Corpodeltesto2">
    <w:name w:val="Body Text 2"/>
    <w:basedOn w:val="Normale"/>
    <w:link w:val="Corpodeltesto2Carattere"/>
    <w:rsid w:val="002F1C54"/>
    <w:pPr>
      <w:suppressAutoHyphens/>
      <w:jc w:val="both"/>
    </w:pPr>
    <w:rPr>
      <w:rFonts w:ascii="Garamond" w:eastAsiaTheme="minorHAnsi" w:hAnsi="Garamond" w:cs="Arial"/>
      <w:color w:val="FF0000"/>
      <w:lang w:eastAsia="ar-SA"/>
    </w:rPr>
  </w:style>
  <w:style w:type="character" w:customStyle="1" w:styleId="Corpodeltesto2Carattere1">
    <w:name w:val="Corpo del testo 2 Carattere1"/>
    <w:basedOn w:val="Carpredefinitoparagrafo"/>
    <w:uiPriority w:val="99"/>
    <w:rsid w:val="002F1C54"/>
    <w:rPr>
      <w:rFonts w:ascii="Times New Roman" w:eastAsia="Times New Roman" w:hAnsi="Times New Roman" w:cs="Times New Roman"/>
      <w:sz w:val="24"/>
      <w:szCs w:val="24"/>
      <w:lang w:eastAsia="it-IT"/>
    </w:rPr>
  </w:style>
  <w:style w:type="paragraph" w:styleId="Didascalia">
    <w:name w:val="caption"/>
    <w:basedOn w:val="Normale"/>
    <w:next w:val="Normale"/>
    <w:qFormat/>
    <w:rsid w:val="002F1C54"/>
    <w:pPr>
      <w:widowControl w:val="0"/>
      <w:suppressAutoHyphens/>
    </w:pPr>
    <w:rPr>
      <w:rFonts w:eastAsia="Arial Unicode MS"/>
      <w:b/>
      <w:bCs/>
      <w:kern w:val="1"/>
      <w:sz w:val="20"/>
      <w:szCs w:val="20"/>
    </w:rPr>
  </w:style>
  <w:style w:type="paragraph" w:styleId="Corpotesto">
    <w:name w:val="Body Text"/>
    <w:basedOn w:val="Normale"/>
    <w:link w:val="CorpotestoCarattere"/>
    <w:rsid w:val="002F1C54"/>
    <w:pPr>
      <w:spacing w:line="360" w:lineRule="auto"/>
      <w:jc w:val="both"/>
    </w:pPr>
    <w:rPr>
      <w:rFonts w:ascii="Garamond" w:hAnsi="Garamond"/>
    </w:rPr>
  </w:style>
  <w:style w:type="character" w:customStyle="1" w:styleId="CorpotestoCarattere">
    <w:name w:val="Corpo testo Carattere"/>
    <w:basedOn w:val="Carpredefinitoparagrafo"/>
    <w:link w:val="Corpotesto"/>
    <w:rsid w:val="002F1C54"/>
    <w:rPr>
      <w:rFonts w:ascii="Garamond" w:eastAsia="Times New Roman" w:hAnsi="Garamond" w:cs="Times New Roman"/>
      <w:sz w:val="24"/>
      <w:szCs w:val="24"/>
      <w:lang w:eastAsia="it-IT"/>
    </w:rPr>
  </w:style>
  <w:style w:type="character" w:styleId="Enfasigrassetto">
    <w:name w:val="Strong"/>
    <w:basedOn w:val="Carpredefinitoparagrafo"/>
    <w:uiPriority w:val="22"/>
    <w:qFormat/>
    <w:rsid w:val="002F1C54"/>
    <w:rPr>
      <w:b/>
      <w:bCs/>
    </w:rPr>
  </w:style>
  <w:style w:type="character" w:customStyle="1" w:styleId="tnn">
    <w:name w:val="tnn"/>
    <w:basedOn w:val="Carpredefinitoparagrafo"/>
    <w:rsid w:val="002F1C54"/>
  </w:style>
  <w:style w:type="paragraph" w:customStyle="1" w:styleId="ecxmsonormal">
    <w:name w:val="ecxmsonormal"/>
    <w:basedOn w:val="Normale"/>
    <w:rsid w:val="002F1C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7443674">
      <w:bodyDiv w:val="1"/>
      <w:marLeft w:val="0"/>
      <w:marRight w:val="0"/>
      <w:marTop w:val="0"/>
      <w:marBottom w:val="0"/>
      <w:divBdr>
        <w:top w:val="none" w:sz="0" w:space="0" w:color="auto"/>
        <w:left w:val="none" w:sz="0" w:space="0" w:color="auto"/>
        <w:bottom w:val="none" w:sz="0" w:space="0" w:color="auto"/>
        <w:right w:val="none" w:sz="0" w:space="0" w:color="auto"/>
      </w:divBdr>
      <w:divsChild>
        <w:div w:id="1902323036">
          <w:marLeft w:val="0"/>
          <w:marRight w:val="0"/>
          <w:marTop w:val="0"/>
          <w:marBottom w:val="0"/>
          <w:divBdr>
            <w:top w:val="none" w:sz="0" w:space="0" w:color="auto"/>
            <w:left w:val="none" w:sz="0" w:space="0" w:color="auto"/>
            <w:bottom w:val="none" w:sz="0" w:space="0" w:color="auto"/>
            <w:right w:val="none" w:sz="0" w:space="0" w:color="auto"/>
          </w:divBdr>
          <w:divsChild>
            <w:div w:id="17294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chart" Target="charts/chart6.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5.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odibergamo.it/stories/Cronaca/344005_mafi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Variazione percentuale del numero di dipendenti per impresa rispetto al dato medio regionale. 2010</a:t>
            </a:r>
          </a:p>
        </c:rich>
      </c:tx>
      <c:layout>
        <c:manualLayout>
          <c:xMode val="edge"/>
          <c:yMode val="edge"/>
          <c:x val="0.12161707509333608"/>
          <c:y val="3.6529680365296802E-3"/>
        </c:manualLayout>
      </c:layout>
    </c:title>
    <c:plotArea>
      <c:layout>
        <c:manualLayout>
          <c:layoutTarget val="inner"/>
          <c:xMode val="edge"/>
          <c:yMode val="edge"/>
          <c:x val="0.15383384007692258"/>
          <c:y val="8.713096909398016E-2"/>
          <c:w val="0.81508813873513331"/>
          <c:h val="0.83799575440666862"/>
        </c:manualLayout>
      </c:layout>
      <c:barChart>
        <c:barDir val="bar"/>
        <c:grouping val="clustered"/>
        <c:ser>
          <c:idx val="0"/>
          <c:order val="0"/>
          <c:dPt>
            <c:idx val="11"/>
            <c:spPr>
              <a:solidFill>
                <a:srgbClr val="00B050"/>
              </a:solidFill>
            </c:spPr>
          </c:dPt>
          <c:dLbls>
            <c:dLbl>
              <c:idx val="0"/>
              <c:layout>
                <c:manualLayout>
                  <c:x val="-8.8007068423378732E-3"/>
                  <c:y val="0"/>
                </c:manualLayout>
              </c:layout>
              <c:showVal val="1"/>
            </c:dLbl>
            <c:dLbl>
              <c:idx val="11"/>
              <c:layout>
                <c:manualLayout>
                  <c:x val="-2.2002200220022266E-3"/>
                  <c:y val="0"/>
                </c:manualLayout>
              </c:layout>
              <c:showVal val="1"/>
            </c:dLbl>
            <c:txPr>
              <a:bodyPr/>
              <a:lstStyle/>
              <a:p>
                <a:pPr>
                  <a:defRPr sz="900">
                    <a:latin typeface="Garamond" pitchFamily="18" charset="0"/>
                  </a:defRPr>
                </a:pPr>
                <a:endParaRPr lang="it-IT"/>
              </a:p>
            </c:txPr>
            <c:showVal val="1"/>
          </c:dLbls>
          <c:cat>
            <c:strRef>
              <c:f>Hoja1!$B$2:$B$13</c:f>
              <c:strCache>
                <c:ptCount val="12"/>
                <c:pt idx="0">
                  <c:v>Pavia</c:v>
                </c:pt>
                <c:pt idx="1">
                  <c:v>Cremona</c:v>
                </c:pt>
                <c:pt idx="2">
                  <c:v>Lodi</c:v>
                </c:pt>
                <c:pt idx="3">
                  <c:v>Sondrio</c:v>
                </c:pt>
                <c:pt idx="4">
                  <c:v>Mantova</c:v>
                </c:pt>
                <c:pt idx="5">
                  <c:v>Lecco</c:v>
                </c:pt>
                <c:pt idx="6">
                  <c:v>Como</c:v>
                </c:pt>
                <c:pt idx="7">
                  <c:v>Varese</c:v>
                </c:pt>
                <c:pt idx="8">
                  <c:v>Brescia</c:v>
                </c:pt>
                <c:pt idx="9">
                  <c:v>Monza e Brianza</c:v>
                </c:pt>
                <c:pt idx="10">
                  <c:v>Bergamo</c:v>
                </c:pt>
                <c:pt idx="11">
                  <c:v>Milano</c:v>
                </c:pt>
              </c:strCache>
            </c:strRef>
          </c:cat>
          <c:val>
            <c:numRef>
              <c:f>Hoja1!$C$2:$C$13</c:f>
              <c:numCache>
                <c:formatCode>0.0</c:formatCode>
                <c:ptCount val="12"/>
                <c:pt idx="0">
                  <c:v>-45.959400250256799</c:v>
                </c:pt>
                <c:pt idx="1">
                  <c:v>-36.117525182914079</c:v>
                </c:pt>
                <c:pt idx="2">
                  <c:v>-32.772145946131737</c:v>
                </c:pt>
                <c:pt idx="3">
                  <c:v>-29.270563513934189</c:v>
                </c:pt>
                <c:pt idx="4">
                  <c:v>-26.485709430814115</c:v>
                </c:pt>
                <c:pt idx="5">
                  <c:v>-25.203452962208985</c:v>
                </c:pt>
                <c:pt idx="6">
                  <c:v>-25.077165437471191</c:v>
                </c:pt>
                <c:pt idx="7">
                  <c:v>-21.610243309705329</c:v>
                </c:pt>
                <c:pt idx="8">
                  <c:v>-20.597247902161101</c:v>
                </c:pt>
                <c:pt idx="9">
                  <c:v>-15.571642878389772</c:v>
                </c:pt>
                <c:pt idx="10">
                  <c:v>-4.6476885695626295</c:v>
                </c:pt>
                <c:pt idx="11">
                  <c:v>38.129518653168503</c:v>
                </c:pt>
              </c:numCache>
            </c:numRef>
          </c:val>
        </c:ser>
        <c:gapWidth val="75"/>
        <c:overlap val="-25"/>
        <c:axId val="93308800"/>
        <c:axId val="93310336"/>
      </c:barChart>
      <c:catAx>
        <c:axId val="93308800"/>
        <c:scaling>
          <c:orientation val="minMax"/>
        </c:scaling>
        <c:axPos val="l"/>
        <c:majorTickMark val="none"/>
        <c:tickLblPos val="low"/>
        <c:txPr>
          <a:bodyPr/>
          <a:lstStyle/>
          <a:p>
            <a:pPr>
              <a:defRPr sz="900">
                <a:latin typeface="Garamond" pitchFamily="18" charset="0"/>
              </a:defRPr>
            </a:pPr>
            <a:endParaRPr lang="it-IT"/>
          </a:p>
        </c:txPr>
        <c:crossAx val="93310336"/>
        <c:crosses val="autoZero"/>
        <c:auto val="1"/>
        <c:lblAlgn val="ctr"/>
        <c:lblOffset val="100"/>
      </c:catAx>
      <c:valAx>
        <c:axId val="93310336"/>
        <c:scaling>
          <c:orientation val="minMax"/>
          <c:max val="40"/>
          <c:min val="-50"/>
        </c:scaling>
        <c:axPos val="b"/>
        <c:numFmt formatCode="0.0" sourceLinked="1"/>
        <c:majorTickMark val="none"/>
        <c:tickLblPos val="nextTo"/>
        <c:spPr>
          <a:ln w="9525">
            <a:noFill/>
          </a:ln>
        </c:spPr>
        <c:txPr>
          <a:bodyPr/>
          <a:lstStyle/>
          <a:p>
            <a:pPr>
              <a:defRPr>
                <a:latin typeface="Garamond" pitchFamily="18" charset="0"/>
              </a:defRPr>
            </a:pPr>
            <a:endParaRPr lang="it-IT"/>
          </a:p>
        </c:txPr>
        <c:crossAx val="9330880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delle imprese artigiane nel tessuto imprenditoriale. </a:t>
            </a:r>
            <a:r>
              <a:rPr lang="en-US" sz="1000" b="0" i="0">
                <a:latin typeface="Garamond" pitchFamily="18" charset="0"/>
              </a:rPr>
              <a:t>Lombardia = 100</a:t>
            </a:r>
          </a:p>
        </c:rich>
      </c:tx>
      <c:layout>
        <c:manualLayout>
          <c:xMode val="edge"/>
          <c:yMode val="edge"/>
          <c:x val="0.124619072615923"/>
          <c:y val="4.1735622741813933E-3"/>
        </c:manualLayout>
      </c:layout>
    </c:title>
    <c:plotArea>
      <c:layout>
        <c:manualLayout>
          <c:layoutTarget val="inner"/>
          <c:xMode val="edge"/>
          <c:yMode val="edge"/>
          <c:x val="0.16959615048119125"/>
          <c:y val="6.4054817575284001E-2"/>
          <c:w val="0.7817860017497813"/>
          <c:h val="0.86478865714305286"/>
        </c:manualLayout>
      </c:layout>
      <c:barChart>
        <c:barDir val="bar"/>
        <c:grouping val="clustered"/>
        <c:ser>
          <c:idx val="0"/>
          <c:order val="0"/>
          <c:spPr>
            <a:solidFill>
              <a:srgbClr val="0070C0"/>
            </a:solidFill>
          </c:spPr>
          <c:dPt>
            <c:idx val="0"/>
            <c:spPr>
              <a:solidFill>
                <a:srgbClr val="C00000"/>
              </a:solidFill>
            </c:spPr>
          </c:dPt>
          <c:dLbls>
            <c:dLbl>
              <c:idx val="0"/>
              <c:layout>
                <c:manualLayout>
                  <c:x val="-5.2379702537182849E-3"/>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Hoja1!$E$4:$E$15</c:f>
              <c:strCache>
                <c:ptCount val="12"/>
                <c:pt idx="0">
                  <c:v>Milano</c:v>
                </c:pt>
                <c:pt idx="1">
                  <c:v>Monza e Brianza</c:v>
                </c:pt>
                <c:pt idx="2">
                  <c:v>Varese</c:v>
                </c:pt>
                <c:pt idx="3">
                  <c:v>Brescia</c:v>
                </c:pt>
                <c:pt idx="4">
                  <c:v>Lecco</c:v>
                </c:pt>
                <c:pt idx="5">
                  <c:v>Sondrio</c:v>
                </c:pt>
                <c:pt idx="6">
                  <c:v>Bergamo</c:v>
                </c:pt>
                <c:pt idx="7">
                  <c:v>Como</c:v>
                </c:pt>
                <c:pt idx="8">
                  <c:v>Pavia</c:v>
                </c:pt>
                <c:pt idx="9">
                  <c:v>Cremona</c:v>
                </c:pt>
                <c:pt idx="10">
                  <c:v>Mantova</c:v>
                </c:pt>
                <c:pt idx="11">
                  <c:v>Lodi</c:v>
                </c:pt>
              </c:strCache>
            </c:strRef>
          </c:cat>
          <c:val>
            <c:numRef>
              <c:f>Hoja1!$F$4:$F$15</c:f>
              <c:numCache>
                <c:formatCode>0.0</c:formatCode>
                <c:ptCount val="12"/>
                <c:pt idx="0">
                  <c:v>-29.767909625603366</c:v>
                </c:pt>
                <c:pt idx="1">
                  <c:v>5.7539046435708627</c:v>
                </c:pt>
                <c:pt idx="2">
                  <c:v>9.1968465494342411</c:v>
                </c:pt>
                <c:pt idx="3">
                  <c:v>13.525199870579321</c:v>
                </c:pt>
                <c:pt idx="4">
                  <c:v>14.197940347093168</c:v>
                </c:pt>
                <c:pt idx="5">
                  <c:v>14.821775555058284</c:v>
                </c:pt>
                <c:pt idx="6">
                  <c:v>20.515262587505589</c:v>
                </c:pt>
                <c:pt idx="7">
                  <c:v>20.463811779732687</c:v>
                </c:pt>
                <c:pt idx="8">
                  <c:v>24.430530606499403</c:v>
                </c:pt>
                <c:pt idx="9">
                  <c:v>24.616395211037233</c:v>
                </c:pt>
                <c:pt idx="10">
                  <c:v>32.347192221917595</c:v>
                </c:pt>
                <c:pt idx="11">
                  <c:v>34.050284373988148</c:v>
                </c:pt>
              </c:numCache>
            </c:numRef>
          </c:val>
        </c:ser>
        <c:gapWidth val="75"/>
        <c:overlap val="-25"/>
        <c:axId val="93749248"/>
        <c:axId val="93750784"/>
      </c:barChart>
      <c:catAx>
        <c:axId val="93749248"/>
        <c:scaling>
          <c:orientation val="minMax"/>
        </c:scaling>
        <c:axPos val="l"/>
        <c:majorTickMark val="none"/>
        <c:tickLblPos val="low"/>
        <c:txPr>
          <a:bodyPr/>
          <a:lstStyle/>
          <a:p>
            <a:pPr>
              <a:defRPr>
                <a:latin typeface="Garamond" pitchFamily="18" charset="0"/>
              </a:defRPr>
            </a:pPr>
            <a:endParaRPr lang="it-IT"/>
          </a:p>
        </c:txPr>
        <c:crossAx val="93750784"/>
        <c:crosses val="autoZero"/>
        <c:auto val="1"/>
        <c:lblAlgn val="ctr"/>
        <c:lblOffset val="100"/>
      </c:catAx>
      <c:valAx>
        <c:axId val="93750784"/>
        <c:scaling>
          <c:orientation val="minMax"/>
          <c:max val="35"/>
          <c:min val="-35"/>
        </c:scaling>
        <c:axPos val="b"/>
        <c:numFmt formatCode="0.0" sourceLinked="1"/>
        <c:majorTickMark val="none"/>
        <c:tickLblPos val="nextTo"/>
        <c:spPr>
          <a:ln w="9525">
            <a:noFill/>
          </a:ln>
        </c:spPr>
        <c:txPr>
          <a:bodyPr/>
          <a:lstStyle/>
          <a:p>
            <a:pPr>
              <a:defRPr>
                <a:latin typeface="Garamond" pitchFamily="18" charset="0"/>
              </a:defRPr>
            </a:pPr>
            <a:endParaRPr lang="it-IT"/>
          </a:p>
        </c:txPr>
        <c:crossAx val="9374924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degli esercizi</a:t>
            </a:r>
            <a:r>
              <a:rPr lang="en-US" sz="1000" baseline="0">
                <a:latin typeface="Garamond" pitchFamily="18" charset="0"/>
              </a:rPr>
              <a:t> di vicinato</a:t>
            </a:r>
            <a:r>
              <a:rPr lang="en-US" sz="1000">
                <a:latin typeface="Garamond" pitchFamily="18" charset="0"/>
              </a:rPr>
              <a:t>. Variazione percentuale.</a:t>
            </a:r>
            <a:r>
              <a:rPr lang="en-US" sz="1000" baseline="0">
                <a:latin typeface="Garamond" pitchFamily="18" charset="0"/>
              </a:rPr>
              <a:t> </a:t>
            </a:r>
            <a:r>
              <a:rPr lang="en-US" sz="1000" b="0" i="0">
                <a:latin typeface="Garamond" pitchFamily="18" charset="0"/>
              </a:rPr>
              <a:t>Lombardia = 100</a:t>
            </a:r>
          </a:p>
        </c:rich>
      </c:tx>
      <c:layout>
        <c:manualLayout>
          <c:xMode val="edge"/>
          <c:yMode val="edge"/>
          <c:x val="0.12684129483814524"/>
          <c:y val="6.9214585774689393E-4"/>
        </c:manualLayout>
      </c:layout>
    </c:title>
    <c:plotArea>
      <c:layout>
        <c:manualLayout>
          <c:layoutTarget val="inner"/>
          <c:xMode val="edge"/>
          <c:yMode val="edge"/>
          <c:x val="0.16959615048119125"/>
          <c:y val="6.4054817575284001E-2"/>
          <c:w val="0.79067489063867635"/>
          <c:h val="0.86478865714305286"/>
        </c:manualLayout>
      </c:layout>
      <c:barChart>
        <c:barDir val="bar"/>
        <c:grouping val="clustered"/>
        <c:ser>
          <c:idx val="0"/>
          <c:order val="0"/>
          <c:spPr>
            <a:solidFill>
              <a:srgbClr val="0070C0"/>
            </a:solidFill>
          </c:spPr>
          <c:dPt>
            <c:idx val="0"/>
            <c:spPr>
              <a:solidFill>
                <a:srgbClr val="C00000"/>
              </a:solidFill>
            </c:spPr>
          </c:dPt>
          <c:dPt>
            <c:idx val="1"/>
            <c:spPr>
              <a:solidFill>
                <a:srgbClr val="C00000"/>
              </a:solidFill>
            </c:spPr>
          </c:dPt>
          <c:dPt>
            <c:idx val="2"/>
            <c:spPr>
              <a:solidFill>
                <a:srgbClr val="C00000"/>
              </a:solidFill>
            </c:spPr>
          </c:dPt>
          <c:dPt>
            <c:idx val="3"/>
            <c:spPr>
              <a:solidFill>
                <a:srgbClr val="C00000"/>
              </a:solidFill>
            </c:spPr>
          </c:dPt>
          <c:dPt>
            <c:idx val="4"/>
            <c:spPr>
              <a:solidFill>
                <a:srgbClr val="C00000"/>
              </a:solidFill>
            </c:spPr>
          </c:dPt>
          <c:dPt>
            <c:idx val="5"/>
            <c:spPr>
              <a:solidFill>
                <a:srgbClr val="C00000"/>
              </a:solidFill>
            </c:spPr>
          </c:dPt>
          <c:dLbls>
            <c:dLbl>
              <c:idx val="0"/>
              <c:layout>
                <c:manualLayout>
                  <c:x val="-1.1904761904761921E-2"/>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Hoja1!$E$23:$E$34</c:f>
              <c:strCache>
                <c:ptCount val="12"/>
                <c:pt idx="0">
                  <c:v>Monza e Brianza</c:v>
                </c:pt>
                <c:pt idx="1">
                  <c:v>Como</c:v>
                </c:pt>
                <c:pt idx="2">
                  <c:v>Lecco</c:v>
                </c:pt>
                <c:pt idx="3">
                  <c:v>Lodi</c:v>
                </c:pt>
                <c:pt idx="4">
                  <c:v>Varese</c:v>
                </c:pt>
                <c:pt idx="5">
                  <c:v>Bergamo</c:v>
                </c:pt>
                <c:pt idx="6">
                  <c:v>Milano</c:v>
                </c:pt>
                <c:pt idx="7">
                  <c:v>Cremona</c:v>
                </c:pt>
                <c:pt idx="8">
                  <c:v>Mantova</c:v>
                </c:pt>
                <c:pt idx="9">
                  <c:v>Pavia</c:v>
                </c:pt>
                <c:pt idx="10">
                  <c:v>Brescia</c:v>
                </c:pt>
                <c:pt idx="11">
                  <c:v>Sondrio</c:v>
                </c:pt>
              </c:strCache>
            </c:strRef>
          </c:cat>
          <c:val>
            <c:numRef>
              <c:f>Hoja1!$F$23:$F$34</c:f>
              <c:numCache>
                <c:formatCode>0.0</c:formatCode>
                <c:ptCount val="12"/>
                <c:pt idx="0">
                  <c:v>-15.401789406414309</c:v>
                </c:pt>
                <c:pt idx="1">
                  <c:v>-11.626171675244308</c:v>
                </c:pt>
                <c:pt idx="2">
                  <c:v>-11.325223521605302</c:v>
                </c:pt>
                <c:pt idx="3">
                  <c:v>-9.1568135176043413</c:v>
                </c:pt>
                <c:pt idx="4">
                  <c:v>-8.5599579002031874</c:v>
                </c:pt>
                <c:pt idx="5">
                  <c:v>-2.2276191043445408</c:v>
                </c:pt>
                <c:pt idx="6">
                  <c:v>6.4438271979924244E-2</c:v>
                </c:pt>
                <c:pt idx="7">
                  <c:v>1.0311436343150717</c:v>
                </c:pt>
                <c:pt idx="8">
                  <c:v>9.7710023529382717</c:v>
                </c:pt>
                <c:pt idx="9">
                  <c:v>10.487751543101639</c:v>
                </c:pt>
                <c:pt idx="10">
                  <c:v>13.586497205438095</c:v>
                </c:pt>
                <c:pt idx="11">
                  <c:v>46.382036699932002</c:v>
                </c:pt>
              </c:numCache>
            </c:numRef>
          </c:val>
        </c:ser>
        <c:gapWidth val="75"/>
        <c:overlap val="-25"/>
        <c:axId val="93781376"/>
        <c:axId val="94123136"/>
      </c:barChart>
      <c:catAx>
        <c:axId val="93781376"/>
        <c:scaling>
          <c:orientation val="minMax"/>
        </c:scaling>
        <c:axPos val="l"/>
        <c:majorTickMark val="none"/>
        <c:tickLblPos val="low"/>
        <c:txPr>
          <a:bodyPr/>
          <a:lstStyle/>
          <a:p>
            <a:pPr>
              <a:defRPr>
                <a:latin typeface="Garamond" pitchFamily="18" charset="0"/>
              </a:defRPr>
            </a:pPr>
            <a:endParaRPr lang="it-IT"/>
          </a:p>
        </c:txPr>
        <c:crossAx val="94123136"/>
        <c:crosses val="autoZero"/>
        <c:auto val="1"/>
        <c:lblAlgn val="ctr"/>
        <c:lblOffset val="100"/>
      </c:catAx>
      <c:valAx>
        <c:axId val="94123136"/>
        <c:scaling>
          <c:orientation val="minMax"/>
          <c:max val="50"/>
          <c:min val="-20"/>
        </c:scaling>
        <c:axPos val="b"/>
        <c:numFmt formatCode="0.0" sourceLinked="1"/>
        <c:majorTickMark val="none"/>
        <c:tickLblPos val="nextTo"/>
        <c:spPr>
          <a:ln w="9525">
            <a:noFill/>
          </a:ln>
        </c:spPr>
        <c:txPr>
          <a:bodyPr/>
          <a:lstStyle/>
          <a:p>
            <a:pPr>
              <a:defRPr>
                <a:latin typeface="Garamond" pitchFamily="18" charset="0"/>
              </a:defRPr>
            </a:pPr>
            <a:endParaRPr lang="it-IT"/>
          </a:p>
        </c:txPr>
        <c:crossAx val="93781376"/>
        <c:crosses val="autoZero"/>
        <c:crossBetween val="between"/>
        <c:majorUnit val="10"/>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0970655695065169"/>
          <c:y val="9.157509157509177E-4"/>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0.10570570570570578"/>
                  <c:y val="3.8095238095238099E-2"/>
                </c:manualLayout>
              </c:layout>
              <c:tx>
                <c:rich>
                  <a:bodyPr/>
                  <a:lstStyle/>
                  <a:p>
                    <a:r>
                      <a:rPr lang="en-US"/>
                      <a:t>Bergamo</a:t>
                    </a:r>
                  </a:p>
                </c:rich>
              </c:tx>
              <c:showSerName val="1"/>
            </c:dLbl>
            <c:dLbl>
              <c:idx val="1"/>
              <c:layout>
                <c:manualLayout>
                  <c:x val="-4.8048048048048063E-3"/>
                  <c:y val="0"/>
                </c:manualLayout>
              </c:layout>
              <c:tx>
                <c:rich>
                  <a:bodyPr/>
                  <a:lstStyle/>
                  <a:p>
                    <a:r>
                      <a:rPr lang="en-US">
                        <a:latin typeface="Garamond" pitchFamily="18" charset="0"/>
                      </a:rPr>
                      <a:t>B</a:t>
                    </a:r>
                    <a:r>
                      <a:rPr lang="en-US"/>
                      <a:t>rescia</a:t>
                    </a:r>
                  </a:p>
                </c:rich>
              </c:tx>
              <c:showVal val="1"/>
              <c:showSerName val="1"/>
            </c:dLbl>
            <c:dLbl>
              <c:idx val="2"/>
              <c:layout>
                <c:manualLayout>
                  <c:x val="-9.1291291291291293E-2"/>
                  <c:y val="7.6190476190476277E-3"/>
                </c:manualLayout>
              </c:layout>
              <c:tx>
                <c:rich>
                  <a:bodyPr/>
                  <a:lstStyle/>
                  <a:p>
                    <a:r>
                      <a:rPr lang="en-US"/>
                      <a:t>Como</a:t>
                    </a:r>
                  </a:p>
                </c:rich>
              </c:tx>
              <c:showSerName val="1"/>
            </c:dLbl>
            <c:dLbl>
              <c:idx val="3"/>
              <c:layout>
                <c:manualLayout>
                  <c:x val="-3.1231420396774772E-2"/>
                  <c:y val="-2.6666666666666672E-2"/>
                </c:manualLayout>
              </c:layout>
              <c:tx>
                <c:rich>
                  <a:bodyPr/>
                  <a:lstStyle/>
                  <a:p>
                    <a:r>
                      <a:rPr lang="en-US"/>
                      <a:t>Cremona</a:t>
                    </a:r>
                  </a:p>
                </c:rich>
              </c:tx>
              <c:showSerName val="1"/>
            </c:dLbl>
            <c:dLbl>
              <c:idx val="4"/>
              <c:tx>
                <c:rich>
                  <a:bodyPr/>
                  <a:lstStyle/>
                  <a:p>
                    <a:r>
                      <a:rPr lang="en-US"/>
                      <a:t>Lecco</a:t>
                    </a:r>
                  </a:p>
                </c:rich>
              </c:tx>
              <c:showSerName val="1"/>
            </c:dLbl>
            <c:dLbl>
              <c:idx val="5"/>
              <c:layout>
                <c:manualLayout>
                  <c:x val="-3.6036036036036036E-2"/>
                  <c:y val="-3.0476190476190521E-2"/>
                </c:manualLayout>
              </c:layout>
              <c:tx>
                <c:rich>
                  <a:bodyPr/>
                  <a:lstStyle/>
                  <a:p>
                    <a:r>
                      <a:rPr lang="en-US"/>
                      <a:t>Lodi</a:t>
                    </a:r>
                  </a:p>
                </c:rich>
              </c:tx>
              <c:showSerName val="1"/>
            </c:dLbl>
            <c:dLbl>
              <c:idx val="6"/>
              <c:layout>
                <c:manualLayout>
                  <c:x val="-0.1009009009009009"/>
                  <c:y val="3.4285714285714343E-2"/>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1.441460357995791E-2"/>
                  <c:y val="2.6666666666666752E-2"/>
                </c:manualLayout>
              </c:layout>
              <c:tx>
                <c:rich>
                  <a:bodyPr/>
                  <a:lstStyle/>
                  <a:p>
                    <a:r>
                      <a:rPr lang="en-US"/>
                      <a:t>Pavia</a:t>
                    </a:r>
                  </a:p>
                </c:rich>
              </c:tx>
              <c:showSerName val="1"/>
            </c:dLbl>
            <c:dLbl>
              <c:idx val="9"/>
              <c:layout>
                <c:manualLayout>
                  <c:x val="-3.3633633633633642E-2"/>
                  <c:y val="3.8095238095238099E-2"/>
                </c:manualLayout>
              </c:layout>
              <c:tx>
                <c:rich>
                  <a:bodyPr/>
                  <a:lstStyle/>
                  <a:p>
                    <a:r>
                      <a:rPr lang="en-US"/>
                      <a:t>Sondrio</a:t>
                    </a:r>
                  </a:p>
                </c:rich>
              </c:tx>
              <c:showSerName val="1"/>
            </c:dLbl>
            <c:dLbl>
              <c:idx val="10"/>
              <c:layout>
                <c:manualLayout>
                  <c:x val="-8.6486486486486533E-2"/>
                  <c:y val="-2.6666666666666672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35"/>
                </c:manualLayout>
              </c:layout>
              <c:numFmt formatCode="General" sourceLinked="0"/>
              <c:txPr>
                <a:bodyPr/>
                <a:lstStyle/>
                <a:p>
                  <a:pPr>
                    <a:defRPr b="1">
                      <a:latin typeface="Garamond" pitchFamily="18" charset="0"/>
                    </a:defRPr>
                  </a:pPr>
                  <a:endParaRPr lang="it-IT"/>
                </a:p>
              </c:txPr>
            </c:trendlineLbl>
          </c:trendline>
          <c:xVal>
            <c:numRef>
              <c:f>Hoja1!$B$2:$B$12</c:f>
              <c:numCache>
                <c:formatCode>General</c:formatCode>
                <c:ptCount val="11"/>
                <c:pt idx="0">
                  <c:v>35.5</c:v>
                </c:pt>
                <c:pt idx="1">
                  <c:v>34.200000000000003</c:v>
                </c:pt>
                <c:pt idx="2">
                  <c:v>32.300000000000004</c:v>
                </c:pt>
                <c:pt idx="3">
                  <c:v>40.700000000000003</c:v>
                </c:pt>
                <c:pt idx="4">
                  <c:v>29.9</c:v>
                </c:pt>
                <c:pt idx="5">
                  <c:v>37.9</c:v>
                </c:pt>
                <c:pt idx="6">
                  <c:v>45.1</c:v>
                </c:pt>
                <c:pt idx="7">
                  <c:v>23.6</c:v>
                </c:pt>
                <c:pt idx="8">
                  <c:v>42.3</c:v>
                </c:pt>
                <c:pt idx="9">
                  <c:v>47.4</c:v>
                </c:pt>
                <c:pt idx="10">
                  <c:v>28.8</c:v>
                </c:pt>
              </c:numCache>
            </c:numRef>
          </c:xVal>
          <c:yVal>
            <c:numRef>
              <c:f>Hoja1!$C$2:$C$12</c:f>
              <c:numCache>
                <c:formatCode>0.000</c:formatCode>
                <c:ptCount val="11"/>
                <c:pt idx="0">
                  <c:v>-0.22080559999999988</c:v>
                </c:pt>
                <c:pt idx="1">
                  <c:v>-1.555855</c:v>
                </c:pt>
                <c:pt idx="2">
                  <c:v>0.19395409999999999</c:v>
                </c:pt>
                <c:pt idx="3">
                  <c:v>0.1606303</c:v>
                </c:pt>
                <c:pt idx="4">
                  <c:v>0.99508149999999951</c:v>
                </c:pt>
                <c:pt idx="5">
                  <c:v>0.50849489999999997</c:v>
                </c:pt>
                <c:pt idx="6">
                  <c:v>-1.0804009999999999</c:v>
                </c:pt>
                <c:pt idx="7">
                  <c:v>2.1490149999999999</c:v>
                </c:pt>
                <c:pt idx="8">
                  <c:v>9.9736000000000182E-3</c:v>
                </c:pt>
                <c:pt idx="9">
                  <c:v>-1.5444439999999999</c:v>
                </c:pt>
                <c:pt idx="10">
                  <c:v>0.38435580000000064</c:v>
                </c:pt>
              </c:numCache>
            </c:numRef>
          </c:yVal>
        </c:ser>
        <c:axId val="94180480"/>
        <c:axId val="94182400"/>
      </c:scatterChart>
      <c:valAx>
        <c:axId val="94180480"/>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94182400"/>
        <c:crosses val="autoZero"/>
        <c:crossBetween val="midCat"/>
        <c:majorUnit val="3"/>
      </c:valAx>
      <c:valAx>
        <c:axId val="94182400"/>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94180480"/>
        <c:crosses val="autoZero"/>
        <c:crossBetween val="midCat"/>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3853538577948077"/>
          <c:y val="4.578754578754579E-3"/>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6.4864864864864882E-2"/>
                  <c:y val="3.6630036630036694E-2"/>
                </c:manualLayout>
              </c:layout>
              <c:tx>
                <c:rich>
                  <a:bodyPr/>
                  <a:lstStyle/>
                  <a:p>
                    <a:r>
                      <a:rPr lang="en-US"/>
                      <a:t>Bergamo</a:t>
                    </a:r>
                  </a:p>
                </c:rich>
              </c:tx>
              <c:showSerName val="1"/>
            </c:dLbl>
            <c:dLbl>
              <c:idx val="1"/>
              <c:tx>
                <c:rich>
                  <a:bodyPr/>
                  <a:lstStyle/>
                  <a:p>
                    <a:r>
                      <a:rPr lang="en-US">
                        <a:latin typeface="Garamond" pitchFamily="18" charset="0"/>
                      </a:rPr>
                      <a:t>B</a:t>
                    </a:r>
                    <a:r>
                      <a:rPr lang="en-US"/>
                      <a:t>rescia</a:t>
                    </a:r>
                  </a:p>
                </c:rich>
              </c:tx>
              <c:showVal val="1"/>
              <c:showSerName val="1"/>
            </c:dLbl>
            <c:dLbl>
              <c:idx val="2"/>
              <c:layout>
                <c:manualLayout>
                  <c:x val="-9.1291291291291293E-2"/>
                  <c:y val="1.4652014652014652E-2"/>
                </c:manualLayout>
              </c:layout>
              <c:tx>
                <c:rich>
                  <a:bodyPr/>
                  <a:lstStyle/>
                  <a:p>
                    <a:r>
                      <a:rPr lang="en-US"/>
                      <a:t>Como</a:t>
                    </a:r>
                  </a:p>
                </c:rich>
              </c:tx>
              <c:showSerName val="1"/>
            </c:dLbl>
            <c:dLbl>
              <c:idx val="3"/>
              <c:layout>
                <c:manualLayout>
                  <c:x val="-7.4474663640017993E-2"/>
                  <c:y val="-2.197802197802199E-2"/>
                </c:manualLayout>
              </c:layout>
              <c:tx>
                <c:rich>
                  <a:bodyPr/>
                  <a:lstStyle/>
                  <a:p>
                    <a:r>
                      <a:rPr lang="en-US"/>
                      <a:t>Cremona</a:t>
                    </a:r>
                  </a:p>
                </c:rich>
              </c:tx>
              <c:showSerName val="1"/>
            </c:dLbl>
            <c:dLbl>
              <c:idx val="4"/>
              <c:layout>
                <c:manualLayout>
                  <c:x val="-7.2072072072072073E-3"/>
                  <c:y val="-7.3260073260073303E-3"/>
                </c:manualLayout>
              </c:layout>
              <c:tx>
                <c:rich>
                  <a:bodyPr/>
                  <a:lstStyle/>
                  <a:p>
                    <a:r>
                      <a:rPr lang="en-US"/>
                      <a:t>Lecco</a:t>
                    </a:r>
                  </a:p>
                </c:rich>
              </c:tx>
              <c:showSerName val="1"/>
            </c:dLbl>
            <c:dLbl>
              <c:idx val="5"/>
              <c:layout>
                <c:manualLayout>
                  <c:x val="-6.966966966966967E-2"/>
                  <c:y val="-2.9304029304029304E-2"/>
                </c:manualLayout>
              </c:layout>
              <c:tx>
                <c:rich>
                  <a:bodyPr/>
                  <a:lstStyle/>
                  <a:p>
                    <a:r>
                      <a:rPr lang="en-US"/>
                      <a:t>Lodi</a:t>
                    </a:r>
                  </a:p>
                </c:rich>
              </c:tx>
              <c:showSerName val="1"/>
            </c:dLbl>
            <c:dLbl>
              <c:idx val="6"/>
              <c:layout>
                <c:manualLayout>
                  <c:x val="-0.12732751649287083"/>
                  <c:y val="-3.6630036630036652E-3"/>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4.8048048048048931E-3"/>
                  <c:y val="-1.465201465201472E-2"/>
                </c:manualLayout>
              </c:layout>
              <c:tx>
                <c:rich>
                  <a:bodyPr/>
                  <a:lstStyle/>
                  <a:p>
                    <a:r>
                      <a:rPr lang="en-US"/>
                      <a:t>Pavia</a:t>
                    </a:r>
                  </a:p>
                </c:rich>
              </c:tx>
              <c:showSerName val="1"/>
            </c:dLbl>
            <c:dLbl>
              <c:idx val="9"/>
              <c:layout>
                <c:manualLayout>
                  <c:x val="-6.4864864864864882E-2"/>
                  <c:y val="3.6630036630036632E-2"/>
                </c:manualLayout>
              </c:layout>
              <c:tx>
                <c:rich>
                  <a:bodyPr/>
                  <a:lstStyle/>
                  <a:p>
                    <a:r>
                      <a:rPr lang="en-US"/>
                      <a:t>Sondrio</a:t>
                    </a:r>
                  </a:p>
                </c:rich>
              </c:tx>
              <c:showSerName val="1"/>
            </c:dLbl>
            <c:dLbl>
              <c:idx val="10"/>
              <c:layout>
                <c:manualLayout>
                  <c:x val="-6.7267267267267228E-2"/>
                  <c:y val="-3.2967032967032975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35"/>
                </c:manualLayout>
              </c:layout>
              <c:numFmt formatCode="General" sourceLinked="0"/>
              <c:txPr>
                <a:bodyPr/>
                <a:lstStyle/>
                <a:p>
                  <a:pPr>
                    <a:defRPr b="1">
                      <a:latin typeface="Garamond" pitchFamily="18" charset="0"/>
                    </a:defRPr>
                  </a:pPr>
                  <a:endParaRPr lang="it-IT"/>
                </a:p>
              </c:txPr>
            </c:trendlineLbl>
          </c:trendline>
          <c:xVal>
            <c:numRef>
              <c:f>Hoja1!$B$16:$B$26</c:f>
              <c:numCache>
                <c:formatCode>General</c:formatCode>
                <c:ptCount val="11"/>
                <c:pt idx="0">
                  <c:v>35.5</c:v>
                </c:pt>
                <c:pt idx="2">
                  <c:v>32.300000000000004</c:v>
                </c:pt>
                <c:pt idx="3">
                  <c:v>40.700000000000003</c:v>
                </c:pt>
                <c:pt idx="4">
                  <c:v>29.9</c:v>
                </c:pt>
                <c:pt idx="5">
                  <c:v>37.9</c:v>
                </c:pt>
                <c:pt idx="6">
                  <c:v>45.1</c:v>
                </c:pt>
                <c:pt idx="7">
                  <c:v>23.6</c:v>
                </c:pt>
                <c:pt idx="8">
                  <c:v>42.3</c:v>
                </c:pt>
                <c:pt idx="9">
                  <c:v>47.4</c:v>
                </c:pt>
                <c:pt idx="10">
                  <c:v>28.8</c:v>
                </c:pt>
              </c:numCache>
            </c:numRef>
          </c:xVal>
          <c:yVal>
            <c:numRef>
              <c:f>Hoja1!$C$16:$C$26</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9.9736000000000182E-3</c:v>
                </c:pt>
                <c:pt idx="9" formatCode="0.000">
                  <c:v>-1.5444439999999999</c:v>
                </c:pt>
                <c:pt idx="10" formatCode="0.000">
                  <c:v>0.38435580000000064</c:v>
                </c:pt>
              </c:numCache>
            </c:numRef>
          </c:yVal>
        </c:ser>
        <c:axId val="94044160"/>
        <c:axId val="94046080"/>
      </c:scatterChart>
      <c:valAx>
        <c:axId val="94044160"/>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94046080"/>
        <c:crosses val="autoZero"/>
        <c:crossBetween val="midCat"/>
        <c:majorUnit val="3"/>
      </c:valAx>
      <c:valAx>
        <c:axId val="94046080"/>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94044160"/>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di piccole e piccolissime imprese e il rischio di evasione</a:t>
            </a:r>
          </a:p>
        </c:rich>
      </c:tx>
      <c:layout>
        <c:manualLayout>
          <c:xMode val="edge"/>
          <c:yMode val="edge"/>
          <c:x val="0.11740524054604939"/>
          <c:y val="7.2072072072072073E-3"/>
        </c:manualLayout>
      </c:layout>
    </c:title>
    <c:plotArea>
      <c:layout>
        <c:manualLayout>
          <c:layoutTarget val="inner"/>
          <c:xMode val="edge"/>
          <c:yMode val="edge"/>
          <c:x val="0.13216528242687486"/>
          <c:y val="0.10937844931545718"/>
          <c:w val="0.83669369670576565"/>
          <c:h val="0.76701198836631912"/>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2568687839267124E-2"/>
                  <c:y val="3.6036036036036036E-2"/>
                </c:manualLayout>
              </c:layout>
              <c:tx>
                <c:rich>
                  <a:bodyPr/>
                  <a:lstStyle/>
                  <a:p>
                    <a:r>
                      <a:rPr lang="en-US"/>
                      <a:t>Bergamo</a:t>
                    </a:r>
                  </a:p>
                </c:rich>
              </c:tx>
              <c:showVal val="1"/>
            </c:dLbl>
            <c:dLbl>
              <c:idx val="2"/>
              <c:layout>
                <c:manualLayout>
                  <c:x val="-8.3632003380652187E-2"/>
                  <c:y val="3.6036036036035408E-3"/>
                </c:manualLayout>
              </c:layout>
              <c:tx>
                <c:rich>
                  <a:bodyPr/>
                  <a:lstStyle/>
                  <a:p>
                    <a:r>
                      <a:rPr lang="en-US"/>
                      <a:t>Como</a:t>
                    </a:r>
                  </a:p>
                </c:rich>
              </c:tx>
              <c:showVal val="1"/>
            </c:dLbl>
            <c:dLbl>
              <c:idx val="3"/>
              <c:layout>
                <c:manualLayout>
                  <c:x val="-5.0179202028391233E-2"/>
                  <c:y val="-3.2432432432432441E-2"/>
                </c:manualLayout>
              </c:layout>
              <c:tx>
                <c:rich>
                  <a:bodyPr/>
                  <a:lstStyle/>
                  <a:p>
                    <a:r>
                      <a:rPr lang="en-US"/>
                      <a:t>Cremona</a:t>
                    </a:r>
                  </a:p>
                </c:rich>
              </c:tx>
              <c:showVal val="1"/>
            </c:dLbl>
            <c:dLbl>
              <c:idx val="4"/>
              <c:tx>
                <c:rich>
                  <a:bodyPr/>
                  <a:lstStyle/>
                  <a:p>
                    <a:r>
                      <a:rPr lang="en-US"/>
                      <a:t>Lecco</a:t>
                    </a:r>
                  </a:p>
                </c:rich>
              </c:tx>
              <c:showVal val="1"/>
            </c:dLbl>
            <c:dLbl>
              <c:idx val="5"/>
              <c:tx>
                <c:rich>
                  <a:bodyPr/>
                  <a:lstStyle/>
                  <a:p>
                    <a:r>
                      <a:rPr lang="en-US"/>
                      <a:t>Lodi</a:t>
                    </a:r>
                  </a:p>
                </c:rich>
              </c:tx>
              <c:showVal val="1"/>
            </c:dLbl>
            <c:dLbl>
              <c:idx val="6"/>
              <c:tx>
                <c:rich>
                  <a:bodyPr/>
                  <a:lstStyle/>
                  <a:p>
                    <a:r>
                      <a:rPr lang="en-US"/>
                      <a:t>Mantova</a:t>
                    </a:r>
                  </a:p>
                </c:rich>
              </c:tx>
              <c:showVal val="1"/>
            </c:dLbl>
            <c:dLbl>
              <c:idx val="7"/>
              <c:tx>
                <c:rich>
                  <a:bodyPr/>
                  <a:lstStyle/>
                  <a:p>
                    <a:r>
                      <a:rPr lang="en-US"/>
                      <a:t>Milano</a:t>
                    </a:r>
                  </a:p>
                </c:rich>
              </c:tx>
              <c:showVal val="1"/>
            </c:dLbl>
            <c:dLbl>
              <c:idx val="8"/>
              <c:layout>
                <c:manualLayout>
                  <c:x val="-4.3010744595763907E-2"/>
                  <c:y val="3.2432432432432441E-2"/>
                </c:manualLayout>
              </c:layout>
              <c:tx>
                <c:rich>
                  <a:bodyPr/>
                  <a:lstStyle/>
                  <a:p>
                    <a:r>
                      <a:rPr lang="en-US"/>
                      <a:t>Pavia</a:t>
                    </a:r>
                  </a:p>
                </c:rich>
              </c:tx>
              <c:showVal val="1"/>
            </c:dLbl>
            <c:dLbl>
              <c:idx val="9"/>
              <c:tx>
                <c:rich>
                  <a:bodyPr/>
                  <a:lstStyle/>
                  <a:p>
                    <a:r>
                      <a:rPr lang="en-US"/>
                      <a:t>Sondrio</a:t>
                    </a:r>
                  </a:p>
                </c:rich>
              </c:tx>
              <c:showVal val="1"/>
            </c:dLbl>
            <c:dLbl>
              <c:idx val="10"/>
              <c:layout>
                <c:manualLayout>
                  <c:x val="-7.4074060137149039E-2"/>
                  <c:y val="-2.1621621621621651E-2"/>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3.9617110298853252E-2"/>
                  <c:y val="-0.45385940270979641"/>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Hoja2!$B$2:$B$12</c:f>
              <c:numCache>
                <c:formatCode>General</c:formatCode>
                <c:ptCount val="11"/>
                <c:pt idx="0">
                  <c:v>140.69999999999999</c:v>
                </c:pt>
                <c:pt idx="2">
                  <c:v>140.6</c:v>
                </c:pt>
                <c:pt idx="3">
                  <c:v>143.5</c:v>
                </c:pt>
                <c:pt idx="4">
                  <c:v>137.80000000000001</c:v>
                </c:pt>
                <c:pt idx="5">
                  <c:v>145.80000000000001</c:v>
                </c:pt>
                <c:pt idx="6">
                  <c:v>146.5</c:v>
                </c:pt>
                <c:pt idx="7">
                  <c:v>130.55000000000001</c:v>
                </c:pt>
                <c:pt idx="8">
                  <c:v>145.30000000000001</c:v>
                </c:pt>
                <c:pt idx="9">
                  <c:v>144.1</c:v>
                </c:pt>
                <c:pt idx="10">
                  <c:v>137.30000000000001</c:v>
                </c:pt>
              </c:numCache>
            </c:numRef>
          </c:xVal>
          <c:yVal>
            <c:numRef>
              <c:f>Hoja2!$C$2:$C$12</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9.9736000000000182E-3</c:v>
                </c:pt>
                <c:pt idx="9" formatCode="0.000">
                  <c:v>-1.5444439999999999</c:v>
                </c:pt>
                <c:pt idx="10" formatCode="0.000">
                  <c:v>0.38435580000000064</c:v>
                </c:pt>
              </c:numCache>
            </c:numRef>
          </c:yVal>
        </c:ser>
        <c:axId val="94109056"/>
        <c:axId val="94488064"/>
      </c:scatterChart>
      <c:valAx>
        <c:axId val="94109056"/>
        <c:scaling>
          <c:orientation val="minMax"/>
          <c:min val="130"/>
        </c:scaling>
        <c:axPos val="b"/>
        <c:title>
          <c:tx>
            <c:rich>
              <a:bodyPr/>
              <a:lstStyle/>
              <a:p>
                <a:pPr>
                  <a:defRPr>
                    <a:latin typeface="Garamond" pitchFamily="18" charset="0"/>
                  </a:defRPr>
                </a:pPr>
                <a:r>
                  <a:rPr lang="en-US">
                    <a:latin typeface="Garamond" pitchFamily="18" charset="0"/>
                  </a:rPr>
                  <a:t>Diffusione piccole imprese, ditte artigiane e esercizi commerciali</a:t>
                </a:r>
              </a:p>
            </c:rich>
          </c:tx>
          <c:layout>
            <c:manualLayout>
              <c:xMode val="edge"/>
              <c:yMode val="edge"/>
              <c:x val="0.15664804469273794"/>
              <c:y val="0.94545449386394287"/>
            </c:manualLayout>
          </c:layout>
        </c:title>
        <c:numFmt formatCode="General" sourceLinked="1"/>
        <c:majorTickMark val="none"/>
        <c:tickLblPos val="low"/>
        <c:txPr>
          <a:bodyPr/>
          <a:lstStyle/>
          <a:p>
            <a:pPr>
              <a:defRPr>
                <a:latin typeface="Garamond" pitchFamily="18" charset="0"/>
              </a:defRPr>
            </a:pPr>
            <a:endParaRPr lang="it-IT"/>
          </a:p>
        </c:txPr>
        <c:crossAx val="94488064"/>
        <c:crosses val="autoZero"/>
        <c:crossBetween val="midCat"/>
        <c:majorUnit val="2"/>
      </c:valAx>
      <c:valAx>
        <c:axId val="94488064"/>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94109056"/>
        <c:crosses val="autoZero"/>
        <c:crossBetween val="midCat"/>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esercizi di vicinato e il rischio di evasione</a:t>
            </a:r>
          </a:p>
        </c:rich>
      </c:tx>
      <c:layout>
        <c:manualLayout>
          <c:xMode val="edge"/>
          <c:yMode val="edge"/>
          <c:x val="0.11740522160975708"/>
          <c:y val="0"/>
        </c:manualLayout>
      </c:layout>
    </c:title>
    <c:plotArea>
      <c:layout>
        <c:manualLayout>
          <c:layoutTarget val="inner"/>
          <c:xMode val="edge"/>
          <c:yMode val="edge"/>
          <c:x val="0.132165282426875"/>
          <c:y val="7.694601688302477E-2"/>
          <c:w val="0.83669369670576565"/>
          <c:h val="0.79223721359154464"/>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0179202028391233E-2"/>
                  <c:y val="3.6036036036036036E-2"/>
                </c:manualLayout>
              </c:layout>
              <c:tx>
                <c:rich>
                  <a:bodyPr/>
                  <a:lstStyle/>
                  <a:p>
                    <a:r>
                      <a:rPr lang="en-US"/>
                      <a:t>Bergamo</a:t>
                    </a:r>
                  </a:p>
                </c:rich>
              </c:tx>
              <c:showVal val="1"/>
            </c:dLbl>
            <c:dLbl>
              <c:idx val="1"/>
              <c:tx>
                <c:rich>
                  <a:bodyPr/>
                  <a:lstStyle/>
                  <a:p>
                    <a:r>
                      <a:rPr lang="en-US"/>
                      <a:t>Brescia</a:t>
                    </a:r>
                  </a:p>
                </c:rich>
              </c:tx>
              <c:showVal val="1"/>
            </c:dLbl>
            <c:dLbl>
              <c:idx val="2"/>
              <c:layout>
                <c:manualLayout>
                  <c:x val="-8.1242517569776199E-2"/>
                  <c:y val="-7.2072072072072073E-3"/>
                </c:manualLayout>
              </c:layout>
              <c:tx>
                <c:rich>
                  <a:bodyPr/>
                  <a:lstStyle/>
                  <a:p>
                    <a:r>
                      <a:rPr lang="en-US"/>
                      <a:t>Como</a:t>
                    </a:r>
                  </a:p>
                </c:rich>
              </c:tx>
              <c:showVal val="1"/>
            </c:dLbl>
            <c:dLbl>
              <c:idx val="3"/>
              <c:layout>
                <c:manualLayout>
                  <c:x val="-1.4336914865254624E-2"/>
                  <c:y val="-1.0810810810810824E-2"/>
                </c:manualLayout>
              </c:layout>
              <c:tx>
                <c:rich>
                  <a:bodyPr/>
                  <a:lstStyle/>
                  <a:p>
                    <a:r>
                      <a:rPr lang="en-US"/>
                      <a:t>Cremona</a:t>
                    </a:r>
                  </a:p>
                </c:rich>
              </c:tx>
              <c:showVal val="1"/>
            </c:dLbl>
            <c:dLbl>
              <c:idx val="4"/>
              <c:tx>
                <c:rich>
                  <a:bodyPr/>
                  <a:lstStyle/>
                  <a:p>
                    <a:r>
                      <a:rPr lang="en-US"/>
                      <a:t>Lecco</a:t>
                    </a:r>
                  </a:p>
                </c:rich>
              </c:tx>
              <c:showVal val="1"/>
            </c:dLbl>
            <c:dLbl>
              <c:idx val="5"/>
              <c:layout>
                <c:manualLayout>
                  <c:x val="-3.5842287163136602E-2"/>
                  <c:y val="-2.8828828828828829E-2"/>
                </c:manualLayout>
              </c:layout>
              <c:tx>
                <c:rich>
                  <a:bodyPr/>
                  <a:lstStyle/>
                  <a:p>
                    <a:r>
                      <a:rPr lang="en-US"/>
                      <a:t>Lodi</a:t>
                    </a:r>
                  </a:p>
                </c:rich>
              </c:tx>
              <c:showVal val="1"/>
            </c:dLbl>
            <c:dLbl>
              <c:idx val="6"/>
              <c:tx>
                <c:rich>
                  <a:bodyPr/>
                  <a:lstStyle/>
                  <a:p>
                    <a:r>
                      <a:rPr lang="en-US"/>
                      <a:t>Mantova</a:t>
                    </a:r>
                  </a:p>
                </c:rich>
              </c:tx>
              <c:showVal val="1"/>
            </c:dLbl>
            <c:dLbl>
              <c:idx val="7"/>
              <c:layout>
                <c:manualLayout>
                  <c:x val="-2.389485810875773E-2"/>
                  <c:y val="2.8828828828828829E-2"/>
                </c:manualLayout>
              </c:layout>
              <c:tx>
                <c:rich>
                  <a:bodyPr/>
                  <a:lstStyle/>
                  <a:p>
                    <a:r>
                      <a:rPr lang="en-US"/>
                      <a:t>Pavia</a:t>
                    </a:r>
                  </a:p>
                </c:rich>
              </c:tx>
              <c:showVal val="1"/>
            </c:dLbl>
            <c:dLbl>
              <c:idx val="8"/>
              <c:layout>
                <c:manualLayout>
                  <c:x val="-3.5842287163136602E-2"/>
                  <c:y val="-3.2432432432432441E-2"/>
                </c:manualLayout>
              </c:layout>
              <c:tx>
                <c:rich>
                  <a:bodyPr/>
                  <a:lstStyle/>
                  <a:p>
                    <a:r>
                      <a:rPr lang="en-US"/>
                      <a:t>Sondrio</a:t>
                    </a:r>
                  </a:p>
                </c:rich>
              </c:tx>
              <c:showVal val="1"/>
            </c:dLbl>
            <c:dLbl>
              <c:idx val="9"/>
              <c:layout>
                <c:manualLayout>
                  <c:x val="-7.168457432627319E-3"/>
                  <c:y val="7.2072072072072073E-3"/>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2.0819947352289848E-2"/>
                  <c:y val="-0.63484372561538083"/>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Hoja2!$B$34:$B$43</c:f>
              <c:numCache>
                <c:formatCode>General</c:formatCode>
                <c:ptCount val="10"/>
                <c:pt idx="0">
                  <c:v>8.9</c:v>
                </c:pt>
                <c:pt idx="1">
                  <c:v>10.3</c:v>
                </c:pt>
                <c:pt idx="2">
                  <c:v>8</c:v>
                </c:pt>
                <c:pt idx="3">
                  <c:v>9.2000000000000011</c:v>
                </c:pt>
                <c:pt idx="4">
                  <c:v>8.1</c:v>
                </c:pt>
                <c:pt idx="5">
                  <c:v>8.3000000000000007</c:v>
                </c:pt>
                <c:pt idx="6">
                  <c:v>10</c:v>
                </c:pt>
                <c:pt idx="7">
                  <c:v>10.1</c:v>
                </c:pt>
                <c:pt idx="8">
                  <c:v>13.3</c:v>
                </c:pt>
                <c:pt idx="9">
                  <c:v>8.3000000000000007</c:v>
                </c:pt>
              </c:numCache>
            </c:numRef>
          </c:xVal>
          <c:yVal>
            <c:numRef>
              <c:f>Hoja2!$C$34:$C$43</c:f>
              <c:numCache>
                <c:formatCode>0.000</c:formatCode>
                <c:ptCount val="10"/>
                <c:pt idx="0">
                  <c:v>-0.22080559999999988</c:v>
                </c:pt>
                <c:pt idx="1">
                  <c:v>-1.555855</c:v>
                </c:pt>
                <c:pt idx="2">
                  <c:v>0.19395409999999999</c:v>
                </c:pt>
                <c:pt idx="3">
                  <c:v>0.1606303</c:v>
                </c:pt>
                <c:pt idx="4">
                  <c:v>0.99508149999999951</c:v>
                </c:pt>
                <c:pt idx="5">
                  <c:v>0.50849489999999997</c:v>
                </c:pt>
                <c:pt idx="6">
                  <c:v>-1.0804009999999999</c:v>
                </c:pt>
                <c:pt idx="7">
                  <c:v>9.9736000000000182E-3</c:v>
                </c:pt>
                <c:pt idx="8">
                  <c:v>-1.5444439999999999</c:v>
                </c:pt>
                <c:pt idx="9">
                  <c:v>0.38435580000000064</c:v>
                </c:pt>
              </c:numCache>
            </c:numRef>
          </c:yVal>
        </c:ser>
        <c:axId val="94387200"/>
        <c:axId val="94409856"/>
      </c:scatterChart>
      <c:valAx>
        <c:axId val="94387200"/>
        <c:scaling>
          <c:orientation val="minMax"/>
          <c:max val="14"/>
          <c:min val="7"/>
        </c:scaling>
        <c:axPos val="b"/>
        <c:title>
          <c:tx>
            <c:rich>
              <a:bodyPr/>
              <a:lstStyle/>
              <a:p>
                <a:pPr>
                  <a:defRPr>
                    <a:latin typeface="Garamond" pitchFamily="18" charset="0"/>
                  </a:defRPr>
                </a:pPr>
                <a:r>
                  <a:rPr lang="en-US">
                    <a:latin typeface="Garamond" pitchFamily="18" charset="0"/>
                  </a:rPr>
                  <a:t>Diffusione esercizi di vicinato</a:t>
                </a:r>
              </a:p>
            </c:rich>
          </c:tx>
          <c:layout>
            <c:manualLayout>
              <c:xMode val="edge"/>
              <c:yMode val="edge"/>
              <c:x val="0.34063851200133288"/>
              <c:y val="0.94545449386394287"/>
            </c:manualLayout>
          </c:layout>
        </c:title>
        <c:numFmt formatCode="#,##0.0" sourceLinked="0"/>
        <c:majorTickMark val="none"/>
        <c:tickLblPos val="low"/>
        <c:txPr>
          <a:bodyPr/>
          <a:lstStyle/>
          <a:p>
            <a:pPr>
              <a:defRPr>
                <a:latin typeface="Garamond" pitchFamily="18" charset="0"/>
              </a:defRPr>
            </a:pPr>
            <a:endParaRPr lang="it-IT"/>
          </a:p>
        </c:txPr>
        <c:crossAx val="94409856"/>
        <c:crosses val="autoZero"/>
        <c:crossBetween val="midCat"/>
        <c:majorUnit val="0.70000000000000062"/>
      </c:valAx>
      <c:valAx>
        <c:axId val="94409856"/>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94387200"/>
        <c:crosses val="autoZero"/>
        <c:crossBetween val="midCat"/>
      </c:valAx>
    </c:plotArea>
    <c:plotVisOnly val="1"/>
    <c:dispBlanksAs val="gap"/>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27542</Words>
  <Characters>156994</Characters>
  <Application>Microsoft Office Word</Application>
  <DocSecurity>0</DocSecurity>
  <Lines>1308</Lines>
  <Paragraphs>368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montemurro</dc:creator>
  <cp:lastModifiedBy> </cp:lastModifiedBy>
  <cp:revision>2</cp:revision>
  <cp:lastPrinted>2013-06-24T07:58:00Z</cp:lastPrinted>
  <dcterms:created xsi:type="dcterms:W3CDTF">2013-07-01T07:27:00Z</dcterms:created>
  <dcterms:modified xsi:type="dcterms:W3CDTF">2013-07-01T07:27:00Z</dcterms:modified>
</cp:coreProperties>
</file>